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DAD" w:rsidRDefault="0023347A">
      <w:pPr>
        <w:pStyle w:val="Heading1"/>
        <w:rPr>
          <w:rFonts w:ascii="Tahoma" w:hAnsi="Tahoma" w:cs="Tahoma"/>
        </w:rPr>
      </w:pPr>
      <w:bookmarkStart w:id="0" w:name="_GoBack"/>
      <w:bookmarkEnd w:id="0"/>
      <w:r>
        <w:rPr>
          <w:rFonts w:ascii="Tahoma" w:hAnsi="Tahoma" w:cs="Tahoma"/>
        </w:rPr>
        <w:t>TRUPARTNER CREDIT UNION</w:t>
      </w:r>
    </w:p>
    <w:p w:rsidR="00FD1DAD" w:rsidRDefault="0023347A">
      <w:pPr>
        <w:pStyle w:val="Normal1"/>
        <w:rPr>
          <w:rFonts w:ascii="Tahoma" w:hAnsi="Tahoma" w:cs="Tahoma"/>
        </w:rPr>
      </w:pPr>
      <w:r>
        <w:rPr>
          <w:rFonts w:ascii="Tahoma" w:hAnsi="Tahoma" w:cs="Tahoma"/>
        </w:rPr>
        <w:t>1717 Western Avenue</w:t>
      </w:r>
    </w:p>
    <w:p w:rsidR="00FD1DAD" w:rsidRDefault="0023347A">
      <w:pPr>
        <w:pStyle w:val="Normal1"/>
        <w:rPr>
          <w:rFonts w:ascii="Tahoma" w:hAnsi="Tahoma" w:cs="Tahoma"/>
        </w:rPr>
      </w:pPr>
      <w:r>
        <w:rPr>
          <w:rFonts w:ascii="Tahoma" w:hAnsi="Tahoma" w:cs="Tahoma"/>
        </w:rPr>
        <w:t>Cincinnati, OH 45214</w:t>
      </w:r>
    </w:p>
    <w:p w:rsidR="00FD1DAD" w:rsidRDefault="00FD1DAD">
      <w:pPr>
        <w:pStyle w:val="Normal1"/>
        <w:rPr>
          <w:rFonts w:ascii="Tahoma" w:hAnsi="Tahoma" w:cs="Tahoma"/>
        </w:rPr>
      </w:pPr>
    </w:p>
    <w:p w:rsidR="00FD1DAD" w:rsidRDefault="0023347A">
      <w:pPr>
        <w:pStyle w:val="Normal1"/>
        <w:pBdr>
          <w:top w:val="single" w:sz="4" w:space="1" w:color="000001"/>
          <w:left w:val="single" w:sz="4" w:space="4" w:color="000001"/>
          <w:bottom w:val="single" w:sz="4" w:space="1" w:color="000001"/>
          <w:right w:val="single" w:sz="4" w:space="4" w:color="000001"/>
        </w:pBdr>
        <w:shd w:val="clear" w:color="auto" w:fill="FFFFFF"/>
        <w:rPr>
          <w:rFonts w:ascii="Tahoma" w:hAnsi="Tahoma" w:cs="Tahoma"/>
          <w:b/>
          <w:sz w:val="24"/>
        </w:rPr>
      </w:pPr>
      <w:r>
        <w:rPr>
          <w:rFonts w:ascii="Tahoma" w:hAnsi="Tahoma" w:cs="Tahoma"/>
          <w:b/>
          <w:sz w:val="24"/>
        </w:rPr>
        <w:t>LOANLINER ADDENDUM:</w:t>
      </w:r>
    </w:p>
    <w:p w:rsidR="00FD1DAD" w:rsidRDefault="0023347A">
      <w:pPr>
        <w:pStyle w:val="Normal1"/>
        <w:pBdr>
          <w:top w:val="single" w:sz="4" w:space="1" w:color="000001"/>
          <w:left w:val="single" w:sz="4" w:space="4" w:color="000001"/>
          <w:bottom w:val="single" w:sz="4" w:space="1" w:color="000001"/>
          <w:right w:val="single" w:sz="4" w:space="4" w:color="000001"/>
        </w:pBdr>
        <w:shd w:val="clear" w:color="auto" w:fill="FFFFFF"/>
        <w:rPr>
          <w:rFonts w:ascii="Tahoma" w:hAnsi="Tahoma" w:cs="Tahoma"/>
        </w:rPr>
      </w:pPr>
      <w:r>
        <w:rPr>
          <w:rFonts w:ascii="Tahoma" w:hAnsi="Tahoma" w:cs="Tahoma"/>
        </w:rPr>
        <w:t xml:space="preserve">This Addendum </w:t>
      </w:r>
      <w:proofErr w:type="gramStart"/>
      <w:r>
        <w:rPr>
          <w:rFonts w:ascii="Tahoma" w:hAnsi="Tahoma" w:cs="Tahoma"/>
        </w:rPr>
        <w:t>is incorporated</w:t>
      </w:r>
      <w:proofErr w:type="gramEnd"/>
      <w:r>
        <w:rPr>
          <w:rFonts w:ascii="Tahoma" w:hAnsi="Tahoma" w:cs="Tahoma"/>
        </w:rPr>
        <w:t xml:space="preserve"> into and becomes a part of your LOANLINER Credit Agreement.</w:t>
      </w:r>
    </w:p>
    <w:p w:rsidR="00FD1DAD" w:rsidRDefault="0023347A">
      <w:pPr>
        <w:pStyle w:val="Normal1"/>
        <w:pBdr>
          <w:top w:val="single" w:sz="4" w:space="1" w:color="000001"/>
          <w:left w:val="single" w:sz="4" w:space="4" w:color="000001"/>
          <w:bottom w:val="single" w:sz="4" w:space="1" w:color="000001"/>
          <w:right w:val="single" w:sz="4" w:space="4" w:color="000001"/>
        </w:pBdr>
        <w:shd w:val="clear" w:color="auto" w:fill="FFFFFF"/>
        <w:rPr>
          <w:rFonts w:ascii="Tahoma" w:hAnsi="Tahoma" w:cs="Tahoma"/>
        </w:rPr>
      </w:pPr>
      <w:r>
        <w:rPr>
          <w:rFonts w:ascii="Tahoma" w:hAnsi="Tahoma" w:cs="Tahoma"/>
        </w:rPr>
        <w:t>Please keep this attached to your LOANLINER Credit Agreement.</w:t>
      </w:r>
    </w:p>
    <w:p w:rsidR="00572815" w:rsidRDefault="00572815">
      <w:pPr>
        <w:pStyle w:val="Normal1"/>
        <w:pBdr>
          <w:top w:val="single" w:sz="4" w:space="1" w:color="000001"/>
          <w:left w:val="single" w:sz="4" w:space="4" w:color="000001"/>
          <w:bottom w:val="single" w:sz="4" w:space="1" w:color="000001"/>
          <w:right w:val="single" w:sz="4" w:space="4" w:color="000001"/>
        </w:pBdr>
        <w:shd w:val="clear" w:color="auto" w:fill="FFFFFF"/>
        <w:rPr>
          <w:rFonts w:ascii="Tahoma" w:hAnsi="Tahoma" w:cs="Tahoma"/>
        </w:rPr>
      </w:pPr>
    </w:p>
    <w:p w:rsidR="00FD1DAD" w:rsidRDefault="0023347A">
      <w:pPr>
        <w:pStyle w:val="Normal1"/>
        <w:pBdr>
          <w:top w:val="single" w:sz="4" w:space="1" w:color="000001"/>
          <w:left w:val="single" w:sz="4" w:space="4" w:color="000001"/>
          <w:bottom w:val="single" w:sz="4" w:space="1" w:color="000001"/>
          <w:right w:val="single" w:sz="4" w:space="4" w:color="000001"/>
        </w:pBdr>
        <w:shd w:val="clear" w:color="auto" w:fill="FFFFFF"/>
        <w:rPr>
          <w:rFonts w:ascii="Tahoma" w:hAnsi="Tahoma" w:cs="Tahoma"/>
          <w:b/>
          <w:u w:val="single"/>
        </w:rPr>
      </w:pPr>
      <w:r>
        <w:rPr>
          <w:rFonts w:ascii="Tahoma" w:hAnsi="Tahoma" w:cs="Tahoma"/>
          <w:b/>
          <w:u w:val="single"/>
        </w:rPr>
        <w:t xml:space="preserve">Effective Date: </w:t>
      </w:r>
      <w:r w:rsidR="00350876">
        <w:rPr>
          <w:rFonts w:ascii="Tahoma" w:hAnsi="Tahoma" w:cs="Tahoma"/>
          <w:b/>
          <w:u w:val="single"/>
        </w:rPr>
        <w:t>January</w:t>
      </w:r>
      <w:r w:rsidR="00967AC2">
        <w:rPr>
          <w:rFonts w:ascii="Tahoma" w:hAnsi="Tahoma" w:cs="Tahoma"/>
          <w:b/>
          <w:u w:val="single"/>
        </w:rPr>
        <w:t xml:space="preserve"> 1</w:t>
      </w:r>
      <w:r w:rsidR="00BF565A">
        <w:rPr>
          <w:rFonts w:ascii="Tahoma" w:hAnsi="Tahoma" w:cs="Tahoma"/>
          <w:b/>
          <w:noProof/>
          <w:u w:val="single"/>
          <w:lang w:eastAsia="en-US" w:bidi="ar-SA"/>
        </w:rPr>
        <mc:AlternateContent>
          <mc:Choice Requires="wps">
            <w:drawing>
              <wp:anchor distT="0" distB="0" distL="114300" distR="114300" simplePos="0" relativeHeight="251656192" behindDoc="0" locked="0" layoutInCell="1" allowOverlap="1" wp14:anchorId="30FCF274" wp14:editId="72EE0981">
                <wp:simplePos x="0" y="0"/>
                <wp:positionH relativeFrom="column">
                  <wp:posOffset>0</wp:posOffset>
                </wp:positionH>
                <wp:positionV relativeFrom="paragraph">
                  <wp:posOffset>0</wp:posOffset>
                </wp:positionV>
                <wp:extent cx="635000" cy="635000"/>
                <wp:effectExtent l="9525" t="9525" r="12700" b="12700"/>
                <wp:wrapNone/>
                <wp:docPr id="4"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25E81" id="shapetype_32"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PF7gIAAJs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" path="m,nfl21600,21600e">
                <v:stroke joinstyle="miter"/>
                <v:path o:connecttype="custom" o:connectlocs="635000,317500;317500,635000;0,317500;317500,0" o:connectangles="0,90,180,270" textboxrect="0,0,21600,21600"/>
                <o:lock v:ext="edit" selection="t"/>
              </v:shape>
            </w:pict>
          </mc:Fallback>
        </mc:AlternateContent>
      </w:r>
      <w:r w:rsidR="00BF565A">
        <w:rPr>
          <w:rFonts w:ascii="Tahoma" w:hAnsi="Tahoma" w:cs="Tahoma"/>
          <w:b/>
          <w:noProof/>
          <w:u w:val="single"/>
          <w:lang w:eastAsia="en-US" w:bidi="ar-SA"/>
        </w:rPr>
        <mc:AlternateContent>
          <mc:Choice Requires="wps">
            <w:drawing>
              <wp:anchor distT="0" distB="0" distL="114300" distR="114300" simplePos="0" relativeHeight="251657216" behindDoc="0" locked="0" layoutInCell="1" allowOverlap="1" wp14:anchorId="30EF9100" wp14:editId="719A7FA5">
                <wp:simplePos x="0" y="0"/>
                <wp:positionH relativeFrom="column">
                  <wp:posOffset>635</wp:posOffset>
                </wp:positionH>
                <wp:positionV relativeFrom="paragraph">
                  <wp:posOffset>3810</wp:posOffset>
                </wp:positionV>
                <wp:extent cx="6854825" cy="0"/>
                <wp:effectExtent l="10160" t="5715" r="12065" b="13335"/>
                <wp:wrapNone/>
                <wp:docPr id="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4825"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60"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FA48F" id="shape_0" o:spid="_x0000_s1026" style="position:absolute;margin-left:.05pt;margin-top:.3pt;width:53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" path="m,nfl21600,21600e" filled="f" strokeweight=".26mm">
                <v:stroke joinstyle="miter"/>
                <v:path o:connecttype="custom" o:connectlocs="6854825,1;3427413,1;0,1;3427413,0" o:connectangles="0,90,180,270" textboxrect="0,0,21600,0"/>
              </v:shape>
            </w:pict>
          </mc:Fallback>
        </mc:AlternateContent>
      </w:r>
      <w:r w:rsidR="00350876">
        <w:rPr>
          <w:rFonts w:ascii="Tahoma" w:hAnsi="Tahoma" w:cs="Tahoma"/>
          <w:b/>
          <w:u w:val="single"/>
        </w:rPr>
        <w:t>, 2021</w:t>
      </w: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sidR="00FB731B">
        <w:rPr>
          <w:rFonts w:ascii="Tahoma" w:hAnsi="Tahoma" w:cs="Tahoma"/>
          <w:b/>
          <w:u w:val="single"/>
        </w:rPr>
        <w:t>Re</w:t>
      </w:r>
      <w:r w:rsidR="00350876">
        <w:rPr>
          <w:rFonts w:ascii="Tahoma" w:hAnsi="Tahoma" w:cs="Tahoma"/>
          <w:b/>
          <w:u w:val="single"/>
        </w:rPr>
        <w:t>places Addendum Dated: Novem</w:t>
      </w:r>
      <w:r w:rsidR="007E785A">
        <w:rPr>
          <w:rFonts w:ascii="Tahoma" w:hAnsi="Tahoma" w:cs="Tahoma"/>
          <w:b/>
          <w:u w:val="single"/>
        </w:rPr>
        <w:t>ber</w:t>
      </w:r>
      <w:r w:rsidR="00FB731B">
        <w:rPr>
          <w:rFonts w:ascii="Tahoma" w:hAnsi="Tahoma" w:cs="Tahoma"/>
          <w:b/>
          <w:u w:val="single"/>
        </w:rPr>
        <w:t xml:space="preserve"> 1, </w:t>
      </w:r>
      <w:r w:rsidR="00653C9F">
        <w:rPr>
          <w:rFonts w:ascii="Tahoma" w:hAnsi="Tahoma" w:cs="Tahoma"/>
          <w:b/>
          <w:u w:val="single"/>
        </w:rPr>
        <w:t>2020</w:t>
      </w:r>
    </w:p>
    <w:p w:rsidR="00FD1DAD" w:rsidRDefault="00FD1DAD">
      <w:pPr>
        <w:pStyle w:val="Normal1"/>
        <w:pBdr>
          <w:top w:val="single" w:sz="4" w:space="1" w:color="000001"/>
          <w:left w:val="single" w:sz="4" w:space="4" w:color="000001"/>
          <w:bottom w:val="single" w:sz="4" w:space="1" w:color="000001"/>
          <w:right w:val="single" w:sz="4" w:space="4" w:color="000001"/>
        </w:pBdr>
        <w:shd w:val="clear" w:color="auto" w:fill="FFFFFF"/>
        <w:rPr>
          <w:rFonts w:ascii="Tahoma" w:hAnsi="Tahoma" w:cs="Tahoma"/>
        </w:rPr>
      </w:pPr>
    </w:p>
    <w:p w:rsidR="00FD1DAD" w:rsidRDefault="00FD1DAD">
      <w:pPr>
        <w:pStyle w:val="Normal1"/>
        <w:rPr>
          <w:rFonts w:ascii="Tahoma" w:hAnsi="Tahoma" w:cs="Tahoma"/>
        </w:rPr>
      </w:pP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2354"/>
        <w:gridCol w:w="1078"/>
        <w:gridCol w:w="3204"/>
        <w:gridCol w:w="2266"/>
      </w:tblGrid>
      <w:tr w:rsidR="00FD1DAD">
        <w:trPr>
          <w:jc w:val="center"/>
        </w:trPr>
        <w:tc>
          <w:tcPr>
            <w:tcW w:w="2354" w:type="dxa"/>
            <w:tcBorders>
              <w:top w:val="single" w:sz="4" w:space="0" w:color="000001"/>
              <w:left w:val="single" w:sz="4" w:space="0" w:color="000001"/>
              <w:bottom w:val="single" w:sz="4" w:space="0" w:color="000001"/>
              <w:right w:val="nil"/>
            </w:tcBorders>
            <w:shd w:val="clear" w:color="auto" w:fill="FFFFFF"/>
            <w:tcMar>
              <w:left w:w="83" w:type="dxa"/>
            </w:tcMar>
          </w:tcPr>
          <w:p w:rsidR="00FD1DAD" w:rsidRDefault="0023347A">
            <w:pPr>
              <w:pStyle w:val="Normal1"/>
              <w:jc w:val="center"/>
              <w:rPr>
                <w:rFonts w:ascii="Tahoma" w:hAnsi="Tahoma" w:cs="Tahoma"/>
              </w:rPr>
            </w:pPr>
            <w:r>
              <w:rPr>
                <w:rFonts w:ascii="Tahoma" w:hAnsi="Tahoma" w:cs="Tahoma"/>
              </w:rPr>
              <w:t>Sub-account</w:t>
            </w:r>
          </w:p>
          <w:p w:rsidR="00FD1DAD" w:rsidRDefault="0023347A">
            <w:pPr>
              <w:pStyle w:val="Normal1"/>
              <w:jc w:val="center"/>
              <w:rPr>
                <w:rFonts w:ascii="Tahoma" w:hAnsi="Tahoma" w:cs="Tahoma"/>
              </w:rPr>
            </w:pPr>
            <w:r>
              <w:rPr>
                <w:rFonts w:ascii="Tahoma" w:hAnsi="Tahoma" w:cs="Tahoma"/>
              </w:rPr>
              <w:t>Description</w:t>
            </w:r>
          </w:p>
          <w:p w:rsidR="00FD1DAD" w:rsidRDefault="00FD1DAD">
            <w:pPr>
              <w:pStyle w:val="Normal1"/>
              <w:rPr>
                <w:rFonts w:ascii="Tahoma" w:hAnsi="Tahoma" w:cs="Tahoma"/>
              </w:rPr>
            </w:pPr>
          </w:p>
        </w:tc>
        <w:tc>
          <w:tcPr>
            <w:tcW w:w="1078" w:type="dxa"/>
            <w:tcBorders>
              <w:top w:val="single" w:sz="4" w:space="0" w:color="000001"/>
              <w:left w:val="single" w:sz="4" w:space="0" w:color="000001"/>
              <w:bottom w:val="single" w:sz="4" w:space="0" w:color="000001"/>
              <w:right w:val="nil"/>
            </w:tcBorders>
            <w:shd w:val="clear" w:color="auto" w:fill="FFFFFF"/>
            <w:tcMar>
              <w:left w:w="83" w:type="dxa"/>
            </w:tcMar>
          </w:tcPr>
          <w:p w:rsidR="00FD1DAD" w:rsidRDefault="0023347A">
            <w:pPr>
              <w:pStyle w:val="Normal1"/>
              <w:jc w:val="center"/>
              <w:rPr>
                <w:rFonts w:ascii="Tahoma" w:hAnsi="Tahoma" w:cs="Tahoma"/>
              </w:rPr>
            </w:pPr>
            <w:r>
              <w:rPr>
                <w:rFonts w:ascii="Tahoma" w:hAnsi="Tahoma" w:cs="Tahoma"/>
              </w:rPr>
              <w:t>Approx.</w:t>
            </w:r>
          </w:p>
          <w:p w:rsidR="00FD1DAD" w:rsidRDefault="0023347A">
            <w:pPr>
              <w:pStyle w:val="Normal1"/>
              <w:jc w:val="center"/>
              <w:rPr>
                <w:rFonts w:ascii="Tahoma" w:hAnsi="Tahoma" w:cs="Tahoma"/>
              </w:rPr>
            </w:pPr>
            <w:r>
              <w:rPr>
                <w:rFonts w:ascii="Tahoma" w:hAnsi="Tahoma" w:cs="Tahoma"/>
              </w:rPr>
              <w:t>Term</w:t>
            </w:r>
          </w:p>
          <w:p w:rsidR="00FD1DAD" w:rsidRDefault="0023347A">
            <w:pPr>
              <w:pStyle w:val="Normal1"/>
              <w:jc w:val="center"/>
              <w:rPr>
                <w:rFonts w:ascii="Tahoma" w:hAnsi="Tahoma" w:cs="Tahoma"/>
                <w:sz w:val="16"/>
              </w:rPr>
            </w:pPr>
            <w:r>
              <w:rPr>
                <w:rFonts w:ascii="Tahoma" w:hAnsi="Tahoma" w:cs="Tahoma"/>
                <w:sz w:val="16"/>
              </w:rPr>
              <w:t>(in months)</w:t>
            </w:r>
          </w:p>
        </w:tc>
        <w:tc>
          <w:tcPr>
            <w:tcW w:w="3204" w:type="dxa"/>
            <w:tcBorders>
              <w:top w:val="single" w:sz="4" w:space="0" w:color="000001"/>
              <w:left w:val="single" w:sz="4" w:space="0" w:color="000001"/>
              <w:bottom w:val="single" w:sz="4" w:space="0" w:color="000001"/>
              <w:right w:val="nil"/>
            </w:tcBorders>
            <w:shd w:val="clear" w:color="auto" w:fill="FFFFFF"/>
            <w:tcMar>
              <w:left w:w="83" w:type="dxa"/>
            </w:tcMar>
          </w:tcPr>
          <w:p w:rsidR="00FD1DAD" w:rsidRDefault="0023347A">
            <w:pPr>
              <w:pStyle w:val="Normal1"/>
              <w:jc w:val="center"/>
              <w:rPr>
                <w:rFonts w:ascii="Tahoma" w:hAnsi="Tahoma" w:cs="Tahoma"/>
              </w:rPr>
            </w:pPr>
            <w:r>
              <w:rPr>
                <w:rFonts w:ascii="Tahoma" w:hAnsi="Tahoma" w:cs="Tahoma"/>
              </w:rPr>
              <w:t>Daily</w:t>
            </w:r>
          </w:p>
          <w:p w:rsidR="00FD1DAD" w:rsidRDefault="0023347A">
            <w:pPr>
              <w:pStyle w:val="Normal1"/>
              <w:jc w:val="center"/>
              <w:rPr>
                <w:rFonts w:ascii="Tahoma" w:hAnsi="Tahoma" w:cs="Tahoma"/>
              </w:rPr>
            </w:pPr>
            <w:r>
              <w:rPr>
                <w:rFonts w:ascii="Tahoma" w:hAnsi="Tahoma" w:cs="Tahoma"/>
              </w:rPr>
              <w:t>Periodic</w:t>
            </w:r>
          </w:p>
          <w:p w:rsidR="00FD1DAD" w:rsidRDefault="0023347A">
            <w:pPr>
              <w:pStyle w:val="Normal1"/>
              <w:jc w:val="center"/>
              <w:rPr>
                <w:rFonts w:ascii="Tahoma" w:hAnsi="Tahoma" w:cs="Tahoma"/>
              </w:rPr>
            </w:pPr>
            <w:r>
              <w:rPr>
                <w:rFonts w:ascii="Tahoma" w:hAnsi="Tahoma" w:cs="Tahoma"/>
              </w:rPr>
              <w:t>Rate</w:t>
            </w:r>
          </w:p>
        </w:tc>
        <w:tc>
          <w:tcPr>
            <w:tcW w:w="226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D1DAD" w:rsidRDefault="0023347A">
            <w:pPr>
              <w:pStyle w:val="Normal1"/>
              <w:jc w:val="center"/>
              <w:rPr>
                <w:rFonts w:ascii="Tahoma" w:hAnsi="Tahoma" w:cs="Tahoma"/>
                <w:b/>
              </w:rPr>
            </w:pPr>
            <w:r>
              <w:rPr>
                <w:rFonts w:ascii="Tahoma" w:hAnsi="Tahoma" w:cs="Tahoma"/>
                <w:b/>
              </w:rPr>
              <w:t>Annual</w:t>
            </w:r>
          </w:p>
          <w:p w:rsidR="00FD1DAD" w:rsidRDefault="0023347A">
            <w:pPr>
              <w:pStyle w:val="Normal1"/>
              <w:jc w:val="center"/>
              <w:rPr>
                <w:rFonts w:ascii="Tahoma" w:hAnsi="Tahoma" w:cs="Tahoma"/>
                <w:b/>
              </w:rPr>
            </w:pPr>
            <w:r>
              <w:rPr>
                <w:rFonts w:ascii="Tahoma" w:hAnsi="Tahoma" w:cs="Tahoma"/>
                <w:b/>
              </w:rPr>
              <w:t>Percentage</w:t>
            </w:r>
          </w:p>
          <w:p w:rsidR="00FD1DAD" w:rsidRDefault="0023347A">
            <w:pPr>
              <w:pStyle w:val="Normal1"/>
              <w:jc w:val="center"/>
              <w:rPr>
                <w:rFonts w:ascii="Tahoma" w:hAnsi="Tahoma" w:cs="Tahoma"/>
                <w:b/>
              </w:rPr>
            </w:pPr>
            <w:r>
              <w:rPr>
                <w:rFonts w:ascii="Tahoma" w:eastAsia="Tahoma" w:hAnsi="Tahoma" w:cs="Tahoma"/>
                <w:b/>
              </w:rPr>
              <w:t xml:space="preserve"> </w:t>
            </w:r>
            <w:r>
              <w:rPr>
                <w:rFonts w:ascii="Tahoma" w:hAnsi="Tahoma" w:cs="Tahoma"/>
                <w:b/>
              </w:rPr>
              <w:t>Rate</w:t>
            </w:r>
          </w:p>
        </w:tc>
      </w:tr>
    </w:tbl>
    <w:p w:rsidR="00FD1DAD" w:rsidRDefault="00FD1DAD">
      <w:pPr>
        <w:pStyle w:val="Normal1"/>
        <w:rPr>
          <w:rFonts w:ascii="Tahoma" w:hAnsi="Tahoma" w:cs="Tahoma"/>
        </w:rPr>
      </w:pPr>
    </w:p>
    <w:tbl>
      <w:tblPr>
        <w:tblW w:w="0" w:type="auto"/>
        <w:tblInd w:w="1025"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4A0" w:firstRow="1" w:lastRow="0" w:firstColumn="1" w:lastColumn="0" w:noHBand="0" w:noVBand="1"/>
      </w:tblPr>
      <w:tblGrid>
        <w:gridCol w:w="2658"/>
        <w:gridCol w:w="900"/>
        <w:gridCol w:w="3076"/>
        <w:gridCol w:w="2266"/>
      </w:tblGrid>
      <w:tr w:rsidR="00FD1DAD" w:rsidTr="007A545E">
        <w:tc>
          <w:tcPr>
            <w:tcW w:w="2658" w:type="dxa"/>
            <w:tcBorders>
              <w:top w:val="single" w:sz="4" w:space="0" w:color="000001"/>
              <w:left w:val="single" w:sz="4" w:space="0" w:color="000001"/>
              <w:bottom w:val="single" w:sz="4" w:space="0" w:color="000001"/>
              <w:right w:val="nil"/>
            </w:tcBorders>
            <w:shd w:val="clear" w:color="auto" w:fill="FFFFFF"/>
            <w:tcMar>
              <w:left w:w="83" w:type="dxa"/>
            </w:tcMar>
          </w:tcPr>
          <w:p w:rsidR="00FD1DAD" w:rsidRDefault="00350876">
            <w:pPr>
              <w:pStyle w:val="Normal1"/>
              <w:rPr>
                <w:rFonts w:ascii="Tahoma" w:hAnsi="Tahoma" w:cs="Tahoma"/>
              </w:rPr>
            </w:pPr>
            <w:r>
              <w:rPr>
                <w:rFonts w:ascii="Tahoma" w:hAnsi="Tahoma" w:cs="Tahoma"/>
              </w:rPr>
              <w:t>*2017-2021</w:t>
            </w:r>
            <w:r w:rsidR="0023347A">
              <w:rPr>
                <w:rFonts w:ascii="Tahoma" w:hAnsi="Tahoma" w:cs="Tahoma"/>
              </w:rPr>
              <w:t xml:space="preserve"> Vehicle**</w:t>
            </w:r>
          </w:p>
        </w:tc>
        <w:tc>
          <w:tcPr>
            <w:tcW w:w="900" w:type="dxa"/>
            <w:tcBorders>
              <w:top w:val="single" w:sz="4" w:space="0" w:color="000001"/>
              <w:left w:val="single" w:sz="4" w:space="0" w:color="000001"/>
              <w:bottom w:val="single" w:sz="4" w:space="0" w:color="000001"/>
              <w:right w:val="nil"/>
            </w:tcBorders>
            <w:shd w:val="clear" w:color="auto" w:fill="FFFFFF"/>
            <w:tcMar>
              <w:left w:w="83" w:type="dxa"/>
            </w:tcMar>
          </w:tcPr>
          <w:p w:rsidR="00FD1DAD" w:rsidRDefault="0023347A">
            <w:pPr>
              <w:pStyle w:val="Normal1"/>
              <w:jc w:val="center"/>
              <w:rPr>
                <w:rFonts w:ascii="Tahoma" w:hAnsi="Tahoma" w:cs="Tahoma"/>
                <w:sz w:val="18"/>
              </w:rPr>
            </w:pPr>
            <w:r>
              <w:rPr>
                <w:rFonts w:ascii="Tahoma" w:hAnsi="Tahoma" w:cs="Tahoma"/>
                <w:sz w:val="18"/>
              </w:rPr>
              <w:t>12-84</w:t>
            </w:r>
          </w:p>
        </w:tc>
        <w:tc>
          <w:tcPr>
            <w:tcW w:w="3076" w:type="dxa"/>
            <w:tcBorders>
              <w:top w:val="single" w:sz="4" w:space="0" w:color="000001"/>
              <w:left w:val="single" w:sz="4" w:space="0" w:color="000001"/>
              <w:bottom w:val="single" w:sz="4" w:space="0" w:color="000001"/>
              <w:right w:val="nil"/>
            </w:tcBorders>
            <w:shd w:val="clear" w:color="auto" w:fill="FFFFFF"/>
            <w:tcMar>
              <w:left w:w="83" w:type="dxa"/>
            </w:tcMar>
          </w:tcPr>
          <w:p w:rsidR="00FD1DAD" w:rsidRDefault="00350876" w:rsidP="007A545E">
            <w:pPr>
              <w:pStyle w:val="Normal1"/>
              <w:jc w:val="center"/>
              <w:rPr>
                <w:rFonts w:ascii="Tahoma" w:hAnsi="Tahoma" w:cs="Tahoma"/>
              </w:rPr>
            </w:pPr>
            <w:r>
              <w:rPr>
                <w:rFonts w:ascii="Tahoma" w:hAnsi="Tahoma" w:cs="Tahoma"/>
              </w:rPr>
              <w:t>0.005452</w:t>
            </w:r>
            <w:r w:rsidR="00211A6C">
              <w:rPr>
                <w:rFonts w:ascii="Tahoma" w:hAnsi="Tahoma" w:cs="Tahoma"/>
              </w:rPr>
              <w:t>% - 0.039699</w:t>
            </w:r>
            <w:r w:rsidR="0023347A">
              <w:rPr>
                <w:rFonts w:ascii="Tahoma" w:hAnsi="Tahoma" w:cs="Tahoma"/>
              </w:rPr>
              <w:t>%</w:t>
            </w:r>
          </w:p>
        </w:tc>
        <w:tc>
          <w:tcPr>
            <w:tcW w:w="226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D1DAD" w:rsidRDefault="00350876">
            <w:pPr>
              <w:pStyle w:val="Normal1"/>
              <w:jc w:val="center"/>
              <w:rPr>
                <w:rFonts w:ascii="Tahoma" w:hAnsi="Tahoma" w:cs="Tahoma"/>
              </w:rPr>
            </w:pPr>
            <w:r>
              <w:rPr>
                <w:rFonts w:ascii="Tahoma" w:hAnsi="Tahoma" w:cs="Tahoma"/>
              </w:rPr>
              <w:t>1.99</w:t>
            </w:r>
            <w:r w:rsidR="00211A6C">
              <w:rPr>
                <w:rFonts w:ascii="Tahoma" w:hAnsi="Tahoma" w:cs="Tahoma"/>
              </w:rPr>
              <w:t>% - 14.49</w:t>
            </w:r>
            <w:r w:rsidR="0023347A">
              <w:rPr>
                <w:rFonts w:ascii="Tahoma" w:hAnsi="Tahoma" w:cs="Tahoma"/>
              </w:rPr>
              <w:t>%</w:t>
            </w:r>
          </w:p>
        </w:tc>
      </w:tr>
      <w:tr w:rsidR="00FD1DAD" w:rsidTr="007A545E">
        <w:tc>
          <w:tcPr>
            <w:tcW w:w="2658" w:type="dxa"/>
            <w:tcBorders>
              <w:top w:val="single" w:sz="4" w:space="0" w:color="000001"/>
              <w:left w:val="single" w:sz="4" w:space="0" w:color="000001"/>
              <w:bottom w:val="single" w:sz="4" w:space="0" w:color="000001"/>
              <w:right w:val="nil"/>
            </w:tcBorders>
            <w:shd w:val="clear" w:color="auto" w:fill="FFFFFF"/>
            <w:tcMar>
              <w:left w:w="83" w:type="dxa"/>
            </w:tcMar>
          </w:tcPr>
          <w:p w:rsidR="00FD1DAD" w:rsidRDefault="00350876">
            <w:pPr>
              <w:pStyle w:val="Normal1"/>
              <w:rPr>
                <w:rFonts w:ascii="Tahoma" w:hAnsi="Tahoma" w:cs="Tahoma"/>
              </w:rPr>
            </w:pPr>
            <w:r>
              <w:rPr>
                <w:rFonts w:ascii="Tahoma" w:hAnsi="Tahoma" w:cs="Tahoma"/>
              </w:rPr>
              <w:t>*2012-2016</w:t>
            </w:r>
            <w:r w:rsidR="0023347A">
              <w:rPr>
                <w:rFonts w:ascii="Tahoma" w:hAnsi="Tahoma" w:cs="Tahoma"/>
              </w:rPr>
              <w:t xml:space="preserve"> Vehicle**</w:t>
            </w:r>
          </w:p>
        </w:tc>
        <w:tc>
          <w:tcPr>
            <w:tcW w:w="900" w:type="dxa"/>
            <w:tcBorders>
              <w:top w:val="single" w:sz="4" w:space="0" w:color="000001"/>
              <w:left w:val="single" w:sz="4" w:space="0" w:color="000001"/>
              <w:bottom w:val="single" w:sz="4" w:space="0" w:color="000001"/>
              <w:right w:val="nil"/>
            </w:tcBorders>
            <w:shd w:val="clear" w:color="auto" w:fill="FFFFFF"/>
            <w:tcMar>
              <w:left w:w="83" w:type="dxa"/>
            </w:tcMar>
          </w:tcPr>
          <w:p w:rsidR="00FD1DAD" w:rsidRDefault="0023347A">
            <w:pPr>
              <w:pStyle w:val="Normal1"/>
              <w:jc w:val="center"/>
              <w:rPr>
                <w:rFonts w:ascii="Tahoma" w:hAnsi="Tahoma" w:cs="Tahoma"/>
                <w:sz w:val="18"/>
              </w:rPr>
            </w:pPr>
            <w:r>
              <w:rPr>
                <w:rFonts w:ascii="Tahoma" w:hAnsi="Tahoma" w:cs="Tahoma"/>
                <w:sz w:val="18"/>
              </w:rPr>
              <w:t>12-66</w:t>
            </w:r>
          </w:p>
        </w:tc>
        <w:tc>
          <w:tcPr>
            <w:tcW w:w="3076" w:type="dxa"/>
            <w:tcBorders>
              <w:top w:val="single" w:sz="4" w:space="0" w:color="000001"/>
              <w:left w:val="single" w:sz="4" w:space="0" w:color="000001"/>
              <w:bottom w:val="single" w:sz="4" w:space="0" w:color="000001"/>
              <w:right w:val="nil"/>
            </w:tcBorders>
            <w:shd w:val="clear" w:color="auto" w:fill="FFFFFF"/>
            <w:tcMar>
              <w:left w:w="83" w:type="dxa"/>
            </w:tcMar>
          </w:tcPr>
          <w:p w:rsidR="00FD1DAD" w:rsidRDefault="00211A6C" w:rsidP="007A545E">
            <w:pPr>
              <w:pStyle w:val="Normal1"/>
              <w:jc w:val="center"/>
              <w:rPr>
                <w:rFonts w:ascii="Tahoma" w:hAnsi="Tahoma" w:cs="Tahoma"/>
              </w:rPr>
            </w:pPr>
            <w:r>
              <w:rPr>
                <w:rFonts w:ascii="Tahoma" w:hAnsi="Tahoma" w:cs="Tahoma"/>
              </w:rPr>
              <w:t>0.010932% - 0.043123</w:t>
            </w:r>
            <w:r w:rsidR="0023347A">
              <w:rPr>
                <w:rFonts w:ascii="Tahoma" w:hAnsi="Tahoma" w:cs="Tahoma"/>
              </w:rPr>
              <w:t>%</w:t>
            </w:r>
          </w:p>
        </w:tc>
        <w:tc>
          <w:tcPr>
            <w:tcW w:w="226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D1DAD" w:rsidRDefault="00211A6C">
            <w:pPr>
              <w:pStyle w:val="Normal1"/>
              <w:jc w:val="center"/>
              <w:rPr>
                <w:rFonts w:ascii="Tahoma" w:hAnsi="Tahoma" w:cs="Tahoma"/>
              </w:rPr>
            </w:pPr>
            <w:r>
              <w:rPr>
                <w:rFonts w:ascii="Tahoma" w:hAnsi="Tahoma" w:cs="Tahoma"/>
              </w:rPr>
              <w:t>3.99% - 15.74</w:t>
            </w:r>
            <w:r w:rsidR="0023347A">
              <w:rPr>
                <w:rFonts w:ascii="Tahoma" w:hAnsi="Tahoma" w:cs="Tahoma"/>
              </w:rPr>
              <w:t>%</w:t>
            </w:r>
          </w:p>
        </w:tc>
      </w:tr>
      <w:tr w:rsidR="00FD1DAD" w:rsidTr="007A545E">
        <w:tc>
          <w:tcPr>
            <w:tcW w:w="2658" w:type="dxa"/>
            <w:tcBorders>
              <w:top w:val="single" w:sz="4" w:space="0" w:color="000001"/>
              <w:left w:val="single" w:sz="4" w:space="0" w:color="000001"/>
              <w:bottom w:val="single" w:sz="4" w:space="0" w:color="000001"/>
              <w:right w:val="nil"/>
            </w:tcBorders>
            <w:shd w:val="clear" w:color="auto" w:fill="FFFFFF"/>
            <w:tcMar>
              <w:left w:w="83" w:type="dxa"/>
            </w:tcMar>
          </w:tcPr>
          <w:p w:rsidR="00FD1DAD" w:rsidRDefault="00350876">
            <w:pPr>
              <w:pStyle w:val="Normal1"/>
              <w:rPr>
                <w:rFonts w:ascii="Tahoma" w:hAnsi="Tahoma" w:cs="Tahoma"/>
                <w:sz w:val="18"/>
                <w:szCs w:val="18"/>
              </w:rPr>
            </w:pPr>
            <w:r>
              <w:rPr>
                <w:rFonts w:ascii="Tahoma" w:hAnsi="Tahoma" w:cs="Tahoma"/>
                <w:sz w:val="18"/>
                <w:szCs w:val="18"/>
              </w:rPr>
              <w:t>*2011</w:t>
            </w:r>
            <w:r w:rsidR="0023347A">
              <w:rPr>
                <w:rFonts w:ascii="Tahoma" w:hAnsi="Tahoma" w:cs="Tahoma"/>
                <w:sz w:val="18"/>
                <w:szCs w:val="18"/>
              </w:rPr>
              <w:t xml:space="preserve"> and older Vehicle**</w:t>
            </w:r>
          </w:p>
        </w:tc>
        <w:tc>
          <w:tcPr>
            <w:tcW w:w="900" w:type="dxa"/>
            <w:tcBorders>
              <w:top w:val="single" w:sz="4" w:space="0" w:color="000001"/>
              <w:left w:val="single" w:sz="4" w:space="0" w:color="000001"/>
              <w:bottom w:val="single" w:sz="4" w:space="0" w:color="000001"/>
              <w:right w:val="nil"/>
            </w:tcBorders>
            <w:shd w:val="clear" w:color="auto" w:fill="FFFFFF"/>
            <w:tcMar>
              <w:left w:w="83" w:type="dxa"/>
            </w:tcMar>
          </w:tcPr>
          <w:p w:rsidR="00FD1DAD" w:rsidRDefault="0023347A">
            <w:pPr>
              <w:pStyle w:val="Normal1"/>
              <w:jc w:val="center"/>
              <w:rPr>
                <w:rFonts w:ascii="Tahoma" w:hAnsi="Tahoma" w:cs="Tahoma"/>
                <w:sz w:val="18"/>
              </w:rPr>
            </w:pPr>
            <w:r>
              <w:rPr>
                <w:rFonts w:ascii="Tahoma" w:hAnsi="Tahoma" w:cs="Tahoma"/>
                <w:sz w:val="18"/>
              </w:rPr>
              <w:t>12-48</w:t>
            </w:r>
          </w:p>
        </w:tc>
        <w:tc>
          <w:tcPr>
            <w:tcW w:w="3076" w:type="dxa"/>
            <w:tcBorders>
              <w:top w:val="single" w:sz="4" w:space="0" w:color="000001"/>
              <w:left w:val="single" w:sz="4" w:space="0" w:color="000001"/>
              <w:bottom w:val="single" w:sz="4" w:space="0" w:color="000001"/>
              <w:right w:val="nil"/>
            </w:tcBorders>
            <w:shd w:val="clear" w:color="auto" w:fill="FFFFFF"/>
            <w:tcMar>
              <w:left w:w="83" w:type="dxa"/>
            </w:tcMar>
          </w:tcPr>
          <w:p w:rsidR="00FD1DAD" w:rsidRDefault="00211A6C" w:rsidP="007A545E">
            <w:pPr>
              <w:pStyle w:val="Normal1"/>
              <w:jc w:val="center"/>
              <w:rPr>
                <w:rFonts w:ascii="Tahoma" w:hAnsi="Tahoma" w:cs="Tahoma"/>
              </w:rPr>
            </w:pPr>
            <w:r>
              <w:rPr>
                <w:rFonts w:ascii="Tahoma" w:hAnsi="Tahoma" w:cs="Tahoma"/>
              </w:rPr>
              <w:t>0.013671</w:t>
            </w:r>
            <w:r w:rsidR="00655C8F">
              <w:rPr>
                <w:rFonts w:ascii="Tahoma" w:hAnsi="Tahoma" w:cs="Tahoma"/>
              </w:rPr>
              <w:t>% - 0.021644</w:t>
            </w:r>
            <w:r w:rsidR="00FB731B">
              <w:rPr>
                <w:rFonts w:ascii="Tahoma" w:hAnsi="Tahoma" w:cs="Tahoma"/>
              </w:rPr>
              <w:t>%</w:t>
            </w:r>
          </w:p>
        </w:tc>
        <w:tc>
          <w:tcPr>
            <w:tcW w:w="226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D1DAD" w:rsidRDefault="00211A6C">
            <w:pPr>
              <w:pStyle w:val="Normal1"/>
              <w:jc w:val="center"/>
              <w:rPr>
                <w:rFonts w:ascii="Tahoma" w:hAnsi="Tahoma" w:cs="Tahoma"/>
              </w:rPr>
            </w:pPr>
            <w:r>
              <w:rPr>
                <w:rFonts w:ascii="Tahoma" w:hAnsi="Tahoma" w:cs="Tahoma"/>
              </w:rPr>
              <w:t>4.99% - 7.74</w:t>
            </w:r>
            <w:r w:rsidR="0023347A">
              <w:rPr>
                <w:rFonts w:ascii="Tahoma" w:hAnsi="Tahoma" w:cs="Tahoma"/>
              </w:rPr>
              <w:t>%</w:t>
            </w:r>
          </w:p>
        </w:tc>
      </w:tr>
      <w:tr w:rsidR="00FD1DAD" w:rsidTr="007A545E">
        <w:tc>
          <w:tcPr>
            <w:tcW w:w="2658" w:type="dxa"/>
            <w:tcBorders>
              <w:top w:val="single" w:sz="4" w:space="0" w:color="000001"/>
              <w:left w:val="single" w:sz="4" w:space="0" w:color="000001"/>
              <w:bottom w:val="single" w:sz="4" w:space="0" w:color="000001"/>
              <w:right w:val="nil"/>
            </w:tcBorders>
            <w:shd w:val="clear" w:color="auto" w:fill="FFFFFF"/>
            <w:tcMar>
              <w:left w:w="83" w:type="dxa"/>
            </w:tcMar>
          </w:tcPr>
          <w:p w:rsidR="00FD1DAD" w:rsidRDefault="007A545E">
            <w:pPr>
              <w:pStyle w:val="Normal1"/>
              <w:rPr>
                <w:rFonts w:ascii="Tahoma" w:hAnsi="Tahoma" w:cs="Tahoma"/>
              </w:rPr>
            </w:pPr>
            <w:r>
              <w:rPr>
                <w:rFonts w:ascii="Tahoma" w:hAnsi="Tahoma" w:cs="Tahoma"/>
              </w:rPr>
              <w:t>*Boats, Campers</w:t>
            </w:r>
          </w:p>
        </w:tc>
        <w:tc>
          <w:tcPr>
            <w:tcW w:w="900" w:type="dxa"/>
            <w:tcBorders>
              <w:top w:val="single" w:sz="4" w:space="0" w:color="000001"/>
              <w:left w:val="single" w:sz="4" w:space="0" w:color="000001"/>
              <w:bottom w:val="single" w:sz="4" w:space="0" w:color="000001"/>
              <w:right w:val="nil"/>
            </w:tcBorders>
            <w:shd w:val="clear" w:color="auto" w:fill="FFFFFF"/>
            <w:tcMar>
              <w:left w:w="83" w:type="dxa"/>
            </w:tcMar>
          </w:tcPr>
          <w:p w:rsidR="00FD1DAD" w:rsidRDefault="007A545E">
            <w:pPr>
              <w:pStyle w:val="Normal1"/>
              <w:jc w:val="center"/>
              <w:rPr>
                <w:rFonts w:ascii="Tahoma" w:hAnsi="Tahoma" w:cs="Tahoma"/>
                <w:sz w:val="18"/>
              </w:rPr>
            </w:pPr>
            <w:r>
              <w:rPr>
                <w:rFonts w:ascii="Tahoma" w:hAnsi="Tahoma" w:cs="Tahoma"/>
                <w:sz w:val="18"/>
              </w:rPr>
              <w:t>12-84</w:t>
            </w:r>
          </w:p>
        </w:tc>
        <w:tc>
          <w:tcPr>
            <w:tcW w:w="3076" w:type="dxa"/>
            <w:tcBorders>
              <w:top w:val="single" w:sz="4" w:space="0" w:color="000001"/>
              <w:left w:val="single" w:sz="4" w:space="0" w:color="000001"/>
              <w:bottom w:val="single" w:sz="4" w:space="0" w:color="000001"/>
              <w:right w:val="nil"/>
            </w:tcBorders>
            <w:shd w:val="clear" w:color="auto" w:fill="FFFFFF"/>
            <w:tcMar>
              <w:left w:w="83" w:type="dxa"/>
            </w:tcMar>
          </w:tcPr>
          <w:p w:rsidR="00FD1DAD" w:rsidRDefault="002E4BA1" w:rsidP="007A545E">
            <w:pPr>
              <w:pStyle w:val="Normal1"/>
              <w:jc w:val="center"/>
              <w:rPr>
                <w:rFonts w:ascii="Tahoma" w:hAnsi="Tahoma" w:cs="Tahoma"/>
              </w:rPr>
            </w:pPr>
            <w:r>
              <w:rPr>
                <w:rFonts w:ascii="Tahoma" w:hAnsi="Tahoma" w:cs="Tahoma"/>
              </w:rPr>
              <w:t>0.014356% - 0.039014</w:t>
            </w:r>
            <w:r w:rsidR="0023347A">
              <w:rPr>
                <w:rFonts w:ascii="Tahoma" w:hAnsi="Tahoma" w:cs="Tahoma"/>
              </w:rPr>
              <w:t>%</w:t>
            </w:r>
          </w:p>
        </w:tc>
        <w:tc>
          <w:tcPr>
            <w:tcW w:w="226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D1DAD" w:rsidRDefault="002E4BA1">
            <w:pPr>
              <w:pStyle w:val="Normal1"/>
              <w:jc w:val="center"/>
              <w:rPr>
                <w:rFonts w:ascii="Tahoma" w:hAnsi="Tahoma" w:cs="Tahoma"/>
              </w:rPr>
            </w:pPr>
            <w:r>
              <w:rPr>
                <w:rFonts w:ascii="Tahoma" w:hAnsi="Tahoma" w:cs="Tahoma"/>
              </w:rPr>
              <w:t>5.24% - 14.24</w:t>
            </w:r>
            <w:r w:rsidR="0023347A">
              <w:rPr>
                <w:rFonts w:ascii="Tahoma" w:hAnsi="Tahoma" w:cs="Tahoma"/>
              </w:rPr>
              <w:t>%</w:t>
            </w:r>
          </w:p>
        </w:tc>
      </w:tr>
      <w:tr w:rsidR="007A545E" w:rsidTr="007A545E">
        <w:tc>
          <w:tcPr>
            <w:tcW w:w="2658" w:type="dxa"/>
            <w:tcBorders>
              <w:top w:val="single" w:sz="4" w:space="0" w:color="000001"/>
              <w:left w:val="single" w:sz="4" w:space="0" w:color="000001"/>
              <w:bottom w:val="single" w:sz="4" w:space="0" w:color="000001"/>
              <w:right w:val="nil"/>
            </w:tcBorders>
            <w:shd w:val="clear" w:color="auto" w:fill="FFFFFF"/>
            <w:tcMar>
              <w:left w:w="83" w:type="dxa"/>
            </w:tcMar>
          </w:tcPr>
          <w:p w:rsidR="007A545E" w:rsidRDefault="007A545E">
            <w:pPr>
              <w:pStyle w:val="Normal1"/>
              <w:rPr>
                <w:rFonts w:ascii="Tahoma" w:hAnsi="Tahoma" w:cs="Tahoma"/>
              </w:rPr>
            </w:pPr>
            <w:r>
              <w:rPr>
                <w:rFonts w:ascii="Tahoma" w:hAnsi="Tahoma" w:cs="Tahoma"/>
              </w:rPr>
              <w:t>*</w:t>
            </w:r>
            <w:r w:rsidR="00ED27D5">
              <w:rPr>
                <w:rFonts w:ascii="Tahoma" w:hAnsi="Tahoma" w:cs="Tahoma"/>
              </w:rPr>
              <w:t>Motorcycles</w:t>
            </w:r>
            <w:r>
              <w:rPr>
                <w:rFonts w:ascii="Tahoma" w:hAnsi="Tahoma" w:cs="Tahoma"/>
              </w:rPr>
              <w:t>, Snowmobiles</w:t>
            </w:r>
          </w:p>
        </w:tc>
        <w:tc>
          <w:tcPr>
            <w:tcW w:w="900" w:type="dxa"/>
            <w:tcBorders>
              <w:top w:val="single" w:sz="4" w:space="0" w:color="000001"/>
              <w:left w:val="single" w:sz="4" w:space="0" w:color="000001"/>
              <w:bottom w:val="single" w:sz="4" w:space="0" w:color="000001"/>
              <w:right w:val="nil"/>
            </w:tcBorders>
            <w:shd w:val="clear" w:color="auto" w:fill="FFFFFF"/>
            <w:tcMar>
              <w:left w:w="83" w:type="dxa"/>
            </w:tcMar>
          </w:tcPr>
          <w:p w:rsidR="007A545E" w:rsidRDefault="007A545E">
            <w:pPr>
              <w:pStyle w:val="Normal1"/>
              <w:jc w:val="center"/>
              <w:rPr>
                <w:rFonts w:ascii="Tahoma" w:hAnsi="Tahoma" w:cs="Tahoma"/>
                <w:sz w:val="18"/>
              </w:rPr>
            </w:pPr>
            <w:r>
              <w:rPr>
                <w:rFonts w:ascii="Tahoma" w:hAnsi="Tahoma" w:cs="Tahoma"/>
                <w:sz w:val="18"/>
              </w:rPr>
              <w:t>12-84</w:t>
            </w:r>
          </w:p>
        </w:tc>
        <w:tc>
          <w:tcPr>
            <w:tcW w:w="3076" w:type="dxa"/>
            <w:tcBorders>
              <w:top w:val="single" w:sz="4" w:space="0" w:color="000001"/>
              <w:left w:val="single" w:sz="4" w:space="0" w:color="000001"/>
              <w:bottom w:val="single" w:sz="4" w:space="0" w:color="000001"/>
              <w:right w:val="nil"/>
            </w:tcBorders>
            <w:shd w:val="clear" w:color="auto" w:fill="FFFFFF"/>
            <w:tcMar>
              <w:left w:w="83" w:type="dxa"/>
            </w:tcMar>
          </w:tcPr>
          <w:p w:rsidR="007A545E" w:rsidRDefault="00655C8F" w:rsidP="007A545E">
            <w:pPr>
              <w:pStyle w:val="Normal1"/>
              <w:jc w:val="center"/>
              <w:rPr>
                <w:rFonts w:ascii="Tahoma" w:hAnsi="Tahoma" w:cs="Tahoma"/>
              </w:rPr>
            </w:pPr>
            <w:r>
              <w:rPr>
                <w:rFonts w:ascii="Tahoma" w:hAnsi="Tahoma" w:cs="Tahoma"/>
              </w:rPr>
              <w:t>0.015726</w:t>
            </w:r>
            <w:r w:rsidR="007A545E">
              <w:rPr>
                <w:rFonts w:ascii="Tahoma" w:hAnsi="Tahoma" w:cs="Tahoma"/>
              </w:rPr>
              <w:t>% - 0.045178%</w:t>
            </w:r>
          </w:p>
        </w:tc>
        <w:tc>
          <w:tcPr>
            <w:tcW w:w="226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7A545E" w:rsidRDefault="00655C8F">
            <w:pPr>
              <w:pStyle w:val="Normal1"/>
              <w:jc w:val="center"/>
              <w:rPr>
                <w:rFonts w:ascii="Tahoma" w:hAnsi="Tahoma" w:cs="Tahoma"/>
              </w:rPr>
            </w:pPr>
            <w:r>
              <w:rPr>
                <w:rFonts w:ascii="Tahoma" w:hAnsi="Tahoma" w:cs="Tahoma"/>
              </w:rPr>
              <w:t>5.7</w:t>
            </w:r>
            <w:r w:rsidR="007A545E">
              <w:rPr>
                <w:rFonts w:ascii="Tahoma" w:hAnsi="Tahoma" w:cs="Tahoma"/>
              </w:rPr>
              <w:t>4% - 16.49%</w:t>
            </w:r>
          </w:p>
        </w:tc>
      </w:tr>
      <w:tr w:rsidR="00FD1DAD" w:rsidTr="007A545E">
        <w:tc>
          <w:tcPr>
            <w:tcW w:w="2658" w:type="dxa"/>
            <w:tcBorders>
              <w:top w:val="single" w:sz="4" w:space="0" w:color="000001"/>
              <w:left w:val="single" w:sz="4" w:space="0" w:color="000001"/>
              <w:bottom w:val="single" w:sz="4" w:space="0" w:color="000001"/>
              <w:right w:val="nil"/>
            </w:tcBorders>
            <w:shd w:val="clear" w:color="auto" w:fill="FFFFFF"/>
            <w:tcMar>
              <w:left w:w="83" w:type="dxa"/>
            </w:tcMar>
          </w:tcPr>
          <w:p w:rsidR="00FD1DAD" w:rsidRDefault="0023347A">
            <w:pPr>
              <w:pStyle w:val="Normal1"/>
              <w:rPr>
                <w:rFonts w:ascii="Tahoma" w:hAnsi="Tahoma" w:cs="Tahoma"/>
              </w:rPr>
            </w:pPr>
            <w:r>
              <w:rPr>
                <w:rFonts w:ascii="Tahoma" w:hAnsi="Tahoma" w:cs="Tahoma"/>
              </w:rPr>
              <w:t>*Signature</w:t>
            </w:r>
          </w:p>
        </w:tc>
        <w:tc>
          <w:tcPr>
            <w:tcW w:w="900" w:type="dxa"/>
            <w:tcBorders>
              <w:top w:val="single" w:sz="4" w:space="0" w:color="000001"/>
              <w:left w:val="single" w:sz="4" w:space="0" w:color="000001"/>
              <w:bottom w:val="single" w:sz="4" w:space="0" w:color="000001"/>
              <w:right w:val="nil"/>
            </w:tcBorders>
            <w:shd w:val="clear" w:color="auto" w:fill="FFFFFF"/>
            <w:tcMar>
              <w:left w:w="83" w:type="dxa"/>
            </w:tcMar>
          </w:tcPr>
          <w:p w:rsidR="00FD1DAD" w:rsidRDefault="0023347A">
            <w:pPr>
              <w:pStyle w:val="Normal1"/>
              <w:jc w:val="center"/>
              <w:rPr>
                <w:rFonts w:ascii="Tahoma" w:hAnsi="Tahoma" w:cs="Tahoma"/>
                <w:sz w:val="18"/>
              </w:rPr>
            </w:pPr>
            <w:r>
              <w:rPr>
                <w:rFonts w:ascii="Tahoma" w:hAnsi="Tahoma" w:cs="Tahoma"/>
                <w:sz w:val="18"/>
              </w:rPr>
              <w:t>12-48</w:t>
            </w:r>
          </w:p>
        </w:tc>
        <w:tc>
          <w:tcPr>
            <w:tcW w:w="3076" w:type="dxa"/>
            <w:tcBorders>
              <w:top w:val="single" w:sz="4" w:space="0" w:color="000001"/>
              <w:left w:val="single" w:sz="4" w:space="0" w:color="000001"/>
              <w:bottom w:val="single" w:sz="4" w:space="0" w:color="000001"/>
              <w:right w:val="nil"/>
            </w:tcBorders>
            <w:shd w:val="clear" w:color="auto" w:fill="FFFFFF"/>
            <w:tcMar>
              <w:left w:w="83" w:type="dxa"/>
            </w:tcMar>
          </w:tcPr>
          <w:p w:rsidR="00FD1DAD" w:rsidRDefault="00A17D2A" w:rsidP="007A545E">
            <w:pPr>
              <w:pStyle w:val="Normal1"/>
              <w:jc w:val="center"/>
              <w:rPr>
                <w:rFonts w:ascii="Tahoma" w:hAnsi="Tahoma" w:cs="Tahoma"/>
              </w:rPr>
            </w:pPr>
            <w:r>
              <w:rPr>
                <w:rFonts w:ascii="Tahoma" w:hAnsi="Tahoma" w:cs="Tahoma"/>
              </w:rPr>
              <w:t>0.021890% - 0.043808</w:t>
            </w:r>
            <w:r w:rsidR="0023347A">
              <w:rPr>
                <w:rFonts w:ascii="Tahoma" w:hAnsi="Tahoma" w:cs="Tahoma"/>
              </w:rPr>
              <w:t>%</w:t>
            </w:r>
          </w:p>
        </w:tc>
        <w:tc>
          <w:tcPr>
            <w:tcW w:w="226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D1DAD" w:rsidRDefault="00A17D2A">
            <w:pPr>
              <w:pStyle w:val="Normal1"/>
              <w:jc w:val="center"/>
              <w:rPr>
                <w:rFonts w:ascii="Tahoma" w:hAnsi="Tahoma" w:cs="Tahoma"/>
              </w:rPr>
            </w:pPr>
            <w:r>
              <w:rPr>
                <w:rFonts w:ascii="Tahoma" w:hAnsi="Tahoma" w:cs="Tahoma"/>
              </w:rPr>
              <w:t>7.99% - 15.9</w:t>
            </w:r>
            <w:r w:rsidR="00A57F44">
              <w:rPr>
                <w:rFonts w:ascii="Tahoma" w:hAnsi="Tahoma" w:cs="Tahoma"/>
              </w:rPr>
              <w:t>9</w:t>
            </w:r>
            <w:r w:rsidR="0023347A">
              <w:rPr>
                <w:rFonts w:ascii="Tahoma" w:hAnsi="Tahoma" w:cs="Tahoma"/>
              </w:rPr>
              <w:t>%</w:t>
            </w:r>
          </w:p>
        </w:tc>
      </w:tr>
      <w:tr w:rsidR="00FD1DAD" w:rsidTr="007A545E">
        <w:tc>
          <w:tcPr>
            <w:tcW w:w="2658" w:type="dxa"/>
            <w:tcBorders>
              <w:top w:val="single" w:sz="4" w:space="0" w:color="000001"/>
              <w:left w:val="single" w:sz="4" w:space="0" w:color="000001"/>
              <w:bottom w:val="single" w:sz="4" w:space="0" w:color="000001"/>
              <w:right w:val="nil"/>
            </w:tcBorders>
            <w:shd w:val="clear" w:color="auto" w:fill="FFFFFF"/>
            <w:tcMar>
              <w:left w:w="83" w:type="dxa"/>
            </w:tcMar>
          </w:tcPr>
          <w:p w:rsidR="00FD1DAD" w:rsidRDefault="0023347A">
            <w:pPr>
              <w:pStyle w:val="Normal1"/>
              <w:rPr>
                <w:rFonts w:ascii="Tahoma" w:hAnsi="Tahoma" w:cs="Tahoma"/>
              </w:rPr>
            </w:pPr>
            <w:r>
              <w:rPr>
                <w:rFonts w:ascii="Tahoma" w:hAnsi="Tahoma" w:cs="Tahoma"/>
              </w:rPr>
              <w:t>TRU LINE</w:t>
            </w:r>
          </w:p>
        </w:tc>
        <w:tc>
          <w:tcPr>
            <w:tcW w:w="900" w:type="dxa"/>
            <w:tcBorders>
              <w:top w:val="single" w:sz="4" w:space="0" w:color="000001"/>
              <w:left w:val="single" w:sz="4" w:space="0" w:color="000001"/>
              <w:bottom w:val="single" w:sz="4" w:space="0" w:color="000001"/>
              <w:right w:val="nil"/>
            </w:tcBorders>
            <w:shd w:val="clear" w:color="auto" w:fill="FFFFFF"/>
            <w:tcMar>
              <w:left w:w="83" w:type="dxa"/>
            </w:tcMar>
          </w:tcPr>
          <w:p w:rsidR="00FD1DAD" w:rsidRDefault="0023347A">
            <w:pPr>
              <w:pStyle w:val="Normal1"/>
              <w:jc w:val="center"/>
              <w:rPr>
                <w:rFonts w:ascii="Tahoma" w:hAnsi="Tahoma" w:cs="Tahoma"/>
                <w:sz w:val="18"/>
              </w:rPr>
            </w:pPr>
            <w:r>
              <w:rPr>
                <w:rFonts w:ascii="Tahoma" w:hAnsi="Tahoma" w:cs="Tahoma"/>
                <w:sz w:val="18"/>
              </w:rPr>
              <w:t>N/A</w:t>
            </w:r>
          </w:p>
        </w:tc>
        <w:tc>
          <w:tcPr>
            <w:tcW w:w="3076" w:type="dxa"/>
            <w:tcBorders>
              <w:top w:val="single" w:sz="4" w:space="0" w:color="000001"/>
              <w:left w:val="single" w:sz="4" w:space="0" w:color="000001"/>
              <w:bottom w:val="single" w:sz="4" w:space="0" w:color="000001"/>
              <w:right w:val="nil"/>
            </w:tcBorders>
            <w:shd w:val="clear" w:color="auto" w:fill="FFFFFF"/>
            <w:tcMar>
              <w:left w:w="83" w:type="dxa"/>
            </w:tcMar>
          </w:tcPr>
          <w:p w:rsidR="00FD1DAD" w:rsidRDefault="00A17D2A">
            <w:pPr>
              <w:pStyle w:val="Normal1"/>
              <w:jc w:val="center"/>
              <w:rPr>
                <w:rFonts w:ascii="Tahoma" w:hAnsi="Tahoma" w:cs="Tahoma"/>
              </w:rPr>
            </w:pPr>
            <w:r>
              <w:rPr>
                <w:rFonts w:ascii="Tahoma" w:hAnsi="Tahoma" w:cs="Tahoma"/>
              </w:rPr>
              <w:t>0.02534</w:t>
            </w:r>
            <w:r w:rsidR="00780E1E">
              <w:rPr>
                <w:rFonts w:ascii="Tahoma" w:hAnsi="Tahoma" w:cs="Tahoma"/>
              </w:rPr>
              <w:t>2</w:t>
            </w:r>
            <w:r w:rsidR="0023347A">
              <w:rPr>
                <w:rFonts w:ascii="Tahoma" w:hAnsi="Tahoma" w:cs="Tahoma"/>
              </w:rPr>
              <w:t>%</w:t>
            </w:r>
          </w:p>
        </w:tc>
        <w:tc>
          <w:tcPr>
            <w:tcW w:w="226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D1DAD" w:rsidRDefault="00A17D2A">
            <w:pPr>
              <w:pStyle w:val="Normal1"/>
              <w:jc w:val="center"/>
              <w:rPr>
                <w:rFonts w:ascii="Tahoma" w:hAnsi="Tahoma" w:cs="Tahoma"/>
              </w:rPr>
            </w:pPr>
            <w:r>
              <w:rPr>
                <w:rFonts w:ascii="Tahoma" w:hAnsi="Tahoma" w:cs="Tahoma"/>
              </w:rPr>
              <w:t>9</w:t>
            </w:r>
            <w:r w:rsidR="00780E1E">
              <w:rPr>
                <w:rFonts w:ascii="Tahoma" w:hAnsi="Tahoma" w:cs="Tahoma"/>
              </w:rPr>
              <w:t>.75</w:t>
            </w:r>
            <w:r w:rsidR="0023347A">
              <w:rPr>
                <w:rFonts w:ascii="Tahoma" w:hAnsi="Tahoma" w:cs="Tahoma"/>
              </w:rPr>
              <w:t>%</w:t>
            </w:r>
          </w:p>
        </w:tc>
      </w:tr>
      <w:tr w:rsidR="00FD1DAD" w:rsidTr="007A545E">
        <w:tc>
          <w:tcPr>
            <w:tcW w:w="2658" w:type="dxa"/>
            <w:tcBorders>
              <w:top w:val="single" w:sz="4" w:space="0" w:color="000001"/>
              <w:left w:val="single" w:sz="4" w:space="0" w:color="000001"/>
              <w:bottom w:val="single" w:sz="4" w:space="0" w:color="000001"/>
              <w:right w:val="nil"/>
            </w:tcBorders>
            <w:shd w:val="clear" w:color="auto" w:fill="FFFFFF"/>
            <w:tcMar>
              <w:left w:w="83" w:type="dxa"/>
            </w:tcMar>
          </w:tcPr>
          <w:p w:rsidR="00FD1DAD" w:rsidRDefault="0023347A">
            <w:pPr>
              <w:pStyle w:val="Normal1"/>
              <w:rPr>
                <w:rFonts w:ascii="Tahoma" w:hAnsi="Tahoma" w:cs="Tahoma"/>
              </w:rPr>
            </w:pPr>
            <w:r>
              <w:rPr>
                <w:rFonts w:ascii="Tahoma" w:hAnsi="Tahoma" w:cs="Tahoma"/>
              </w:rPr>
              <w:t>TRU LINE Plus</w:t>
            </w:r>
          </w:p>
        </w:tc>
        <w:tc>
          <w:tcPr>
            <w:tcW w:w="900" w:type="dxa"/>
            <w:tcBorders>
              <w:top w:val="single" w:sz="4" w:space="0" w:color="000001"/>
              <w:left w:val="single" w:sz="4" w:space="0" w:color="000001"/>
              <w:bottom w:val="single" w:sz="4" w:space="0" w:color="000001"/>
              <w:right w:val="nil"/>
            </w:tcBorders>
            <w:shd w:val="clear" w:color="auto" w:fill="FFFFFF"/>
            <w:tcMar>
              <w:left w:w="83" w:type="dxa"/>
            </w:tcMar>
          </w:tcPr>
          <w:p w:rsidR="00FD1DAD" w:rsidRDefault="0023347A">
            <w:pPr>
              <w:pStyle w:val="Normal1"/>
              <w:jc w:val="center"/>
              <w:rPr>
                <w:rFonts w:ascii="Tahoma" w:hAnsi="Tahoma" w:cs="Tahoma"/>
                <w:sz w:val="18"/>
              </w:rPr>
            </w:pPr>
            <w:r>
              <w:rPr>
                <w:rFonts w:ascii="Tahoma" w:hAnsi="Tahoma" w:cs="Tahoma"/>
                <w:sz w:val="18"/>
              </w:rPr>
              <w:t>N/A</w:t>
            </w:r>
          </w:p>
        </w:tc>
        <w:tc>
          <w:tcPr>
            <w:tcW w:w="3076" w:type="dxa"/>
            <w:tcBorders>
              <w:top w:val="single" w:sz="4" w:space="0" w:color="000001"/>
              <w:left w:val="single" w:sz="4" w:space="0" w:color="000001"/>
              <w:bottom w:val="single" w:sz="4" w:space="0" w:color="000001"/>
              <w:right w:val="nil"/>
            </w:tcBorders>
            <w:shd w:val="clear" w:color="auto" w:fill="FFFFFF"/>
            <w:tcMar>
              <w:left w:w="83" w:type="dxa"/>
            </w:tcMar>
          </w:tcPr>
          <w:p w:rsidR="00FD1DAD" w:rsidRDefault="00A17D2A" w:rsidP="009C0E5E">
            <w:pPr>
              <w:pStyle w:val="Normal1"/>
              <w:jc w:val="center"/>
              <w:rPr>
                <w:rFonts w:ascii="Tahoma" w:hAnsi="Tahoma" w:cs="Tahoma"/>
              </w:rPr>
            </w:pPr>
            <w:r>
              <w:rPr>
                <w:rFonts w:ascii="Tahoma" w:hAnsi="Tahoma" w:cs="Tahoma"/>
              </w:rPr>
              <w:t>0.017123</w:t>
            </w:r>
            <w:r w:rsidR="0023347A">
              <w:rPr>
                <w:rFonts w:ascii="Tahoma" w:hAnsi="Tahoma" w:cs="Tahoma"/>
              </w:rPr>
              <w:t>%</w:t>
            </w:r>
          </w:p>
        </w:tc>
        <w:tc>
          <w:tcPr>
            <w:tcW w:w="226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D1DAD" w:rsidRDefault="00A17D2A">
            <w:pPr>
              <w:pStyle w:val="Normal1"/>
              <w:jc w:val="center"/>
              <w:rPr>
                <w:rFonts w:ascii="Tahoma" w:hAnsi="Tahoma" w:cs="Tahoma"/>
              </w:rPr>
            </w:pPr>
            <w:r>
              <w:rPr>
                <w:rFonts w:ascii="Tahoma" w:hAnsi="Tahoma" w:cs="Tahoma"/>
              </w:rPr>
              <w:t>6.2</w:t>
            </w:r>
            <w:r w:rsidR="00780E1E">
              <w:rPr>
                <w:rFonts w:ascii="Tahoma" w:hAnsi="Tahoma" w:cs="Tahoma"/>
              </w:rPr>
              <w:t>5</w:t>
            </w:r>
            <w:r w:rsidR="0023347A">
              <w:rPr>
                <w:rFonts w:ascii="Tahoma" w:hAnsi="Tahoma" w:cs="Tahoma"/>
              </w:rPr>
              <w:t>%</w:t>
            </w:r>
          </w:p>
        </w:tc>
      </w:tr>
      <w:tr w:rsidR="00FD1DAD" w:rsidTr="007A545E">
        <w:tc>
          <w:tcPr>
            <w:tcW w:w="2658" w:type="dxa"/>
            <w:tcBorders>
              <w:top w:val="single" w:sz="4" w:space="0" w:color="000001"/>
              <w:left w:val="single" w:sz="4" w:space="0" w:color="000001"/>
              <w:bottom w:val="single" w:sz="4" w:space="0" w:color="000001"/>
              <w:right w:val="nil"/>
            </w:tcBorders>
            <w:shd w:val="clear" w:color="auto" w:fill="FFFFFF"/>
            <w:tcMar>
              <w:left w:w="83" w:type="dxa"/>
            </w:tcMar>
          </w:tcPr>
          <w:p w:rsidR="00FD1DAD" w:rsidRDefault="0023347A">
            <w:pPr>
              <w:pStyle w:val="Normal1"/>
              <w:rPr>
                <w:rFonts w:ascii="Tahoma" w:hAnsi="Tahoma" w:cs="Tahoma"/>
              </w:rPr>
            </w:pPr>
            <w:r>
              <w:rPr>
                <w:rFonts w:ascii="Tahoma" w:hAnsi="Tahoma" w:cs="Tahoma"/>
              </w:rPr>
              <w:t>TRU LINE Premium</w:t>
            </w:r>
          </w:p>
        </w:tc>
        <w:tc>
          <w:tcPr>
            <w:tcW w:w="900" w:type="dxa"/>
            <w:tcBorders>
              <w:top w:val="single" w:sz="4" w:space="0" w:color="000001"/>
              <w:left w:val="single" w:sz="4" w:space="0" w:color="000001"/>
              <w:bottom w:val="single" w:sz="4" w:space="0" w:color="000001"/>
              <w:right w:val="nil"/>
            </w:tcBorders>
            <w:shd w:val="clear" w:color="auto" w:fill="FFFFFF"/>
            <w:tcMar>
              <w:left w:w="83" w:type="dxa"/>
            </w:tcMar>
          </w:tcPr>
          <w:p w:rsidR="00FD1DAD" w:rsidRDefault="0023347A">
            <w:pPr>
              <w:pStyle w:val="Normal1"/>
              <w:jc w:val="center"/>
              <w:rPr>
                <w:rFonts w:ascii="Tahoma" w:hAnsi="Tahoma" w:cs="Tahoma"/>
                <w:sz w:val="18"/>
              </w:rPr>
            </w:pPr>
            <w:r>
              <w:rPr>
                <w:rFonts w:ascii="Tahoma" w:hAnsi="Tahoma" w:cs="Tahoma"/>
                <w:sz w:val="18"/>
              </w:rPr>
              <w:t>N/A</w:t>
            </w:r>
          </w:p>
        </w:tc>
        <w:tc>
          <w:tcPr>
            <w:tcW w:w="3076" w:type="dxa"/>
            <w:tcBorders>
              <w:top w:val="single" w:sz="4" w:space="0" w:color="000001"/>
              <w:left w:val="single" w:sz="4" w:space="0" w:color="000001"/>
              <w:bottom w:val="single" w:sz="4" w:space="0" w:color="000001"/>
              <w:right w:val="nil"/>
            </w:tcBorders>
            <w:shd w:val="clear" w:color="auto" w:fill="FFFFFF"/>
            <w:tcMar>
              <w:left w:w="83" w:type="dxa"/>
            </w:tcMar>
          </w:tcPr>
          <w:p w:rsidR="00FD1DAD" w:rsidRDefault="00A17D2A">
            <w:pPr>
              <w:pStyle w:val="Normal1"/>
              <w:jc w:val="center"/>
              <w:rPr>
                <w:rFonts w:ascii="Tahoma" w:hAnsi="Tahoma" w:cs="Tahoma"/>
              </w:rPr>
            </w:pPr>
            <w:r>
              <w:rPr>
                <w:rFonts w:ascii="Tahoma" w:hAnsi="Tahoma" w:cs="Tahoma"/>
              </w:rPr>
              <w:t>0.008904</w:t>
            </w:r>
            <w:r w:rsidR="0023347A">
              <w:rPr>
                <w:rFonts w:ascii="Tahoma" w:hAnsi="Tahoma" w:cs="Tahoma"/>
              </w:rPr>
              <w:t>%</w:t>
            </w:r>
          </w:p>
        </w:tc>
        <w:tc>
          <w:tcPr>
            <w:tcW w:w="226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D1DAD" w:rsidRDefault="00A17D2A">
            <w:pPr>
              <w:pStyle w:val="Normal1"/>
              <w:jc w:val="center"/>
              <w:rPr>
                <w:rFonts w:ascii="Tahoma" w:hAnsi="Tahoma" w:cs="Tahoma"/>
              </w:rPr>
            </w:pPr>
            <w:r>
              <w:rPr>
                <w:rFonts w:ascii="Tahoma" w:hAnsi="Tahoma" w:cs="Tahoma"/>
              </w:rPr>
              <w:t>3.2</w:t>
            </w:r>
            <w:r w:rsidR="00780E1E">
              <w:rPr>
                <w:rFonts w:ascii="Tahoma" w:hAnsi="Tahoma" w:cs="Tahoma"/>
              </w:rPr>
              <w:t>5</w:t>
            </w:r>
            <w:r w:rsidR="0023347A">
              <w:rPr>
                <w:rFonts w:ascii="Tahoma" w:hAnsi="Tahoma" w:cs="Tahoma"/>
              </w:rPr>
              <w:t>%</w:t>
            </w:r>
          </w:p>
        </w:tc>
      </w:tr>
      <w:tr w:rsidR="00FD1DAD" w:rsidTr="007A545E">
        <w:tc>
          <w:tcPr>
            <w:tcW w:w="2658" w:type="dxa"/>
            <w:tcBorders>
              <w:top w:val="single" w:sz="4" w:space="0" w:color="000001"/>
              <w:left w:val="single" w:sz="4" w:space="0" w:color="000001"/>
              <w:bottom w:val="single" w:sz="4" w:space="0" w:color="000001"/>
              <w:right w:val="nil"/>
            </w:tcBorders>
            <w:shd w:val="clear" w:color="auto" w:fill="FFFFFF"/>
            <w:tcMar>
              <w:left w:w="83" w:type="dxa"/>
            </w:tcMar>
          </w:tcPr>
          <w:p w:rsidR="00FD1DAD" w:rsidRDefault="0023347A">
            <w:pPr>
              <w:pStyle w:val="Normal1"/>
              <w:rPr>
                <w:rFonts w:ascii="Tahoma" w:hAnsi="Tahoma" w:cs="Tahoma"/>
              </w:rPr>
            </w:pPr>
            <w:r>
              <w:rPr>
                <w:rFonts w:ascii="Tahoma" w:hAnsi="Tahoma" w:cs="Tahoma"/>
              </w:rPr>
              <w:t>Overdraft Line of Credit</w:t>
            </w:r>
          </w:p>
        </w:tc>
        <w:tc>
          <w:tcPr>
            <w:tcW w:w="900" w:type="dxa"/>
            <w:tcBorders>
              <w:top w:val="single" w:sz="4" w:space="0" w:color="000001"/>
              <w:left w:val="single" w:sz="4" w:space="0" w:color="000001"/>
              <w:bottom w:val="single" w:sz="4" w:space="0" w:color="000001"/>
              <w:right w:val="nil"/>
            </w:tcBorders>
            <w:shd w:val="clear" w:color="auto" w:fill="FFFFFF"/>
            <w:tcMar>
              <w:left w:w="83" w:type="dxa"/>
            </w:tcMar>
          </w:tcPr>
          <w:p w:rsidR="00FD1DAD" w:rsidRDefault="0023347A">
            <w:pPr>
              <w:pStyle w:val="Normal1"/>
              <w:jc w:val="center"/>
              <w:rPr>
                <w:rFonts w:ascii="Tahoma" w:hAnsi="Tahoma" w:cs="Tahoma"/>
                <w:sz w:val="18"/>
              </w:rPr>
            </w:pPr>
            <w:r>
              <w:rPr>
                <w:rFonts w:ascii="Tahoma" w:hAnsi="Tahoma" w:cs="Tahoma"/>
                <w:sz w:val="18"/>
              </w:rPr>
              <w:t>N/A</w:t>
            </w:r>
          </w:p>
        </w:tc>
        <w:tc>
          <w:tcPr>
            <w:tcW w:w="3076" w:type="dxa"/>
            <w:tcBorders>
              <w:top w:val="single" w:sz="4" w:space="0" w:color="000001"/>
              <w:left w:val="single" w:sz="4" w:space="0" w:color="000001"/>
              <w:bottom w:val="single" w:sz="4" w:space="0" w:color="000001"/>
              <w:right w:val="nil"/>
            </w:tcBorders>
            <w:shd w:val="clear" w:color="auto" w:fill="FFFFFF"/>
            <w:tcMar>
              <w:left w:w="83" w:type="dxa"/>
            </w:tcMar>
          </w:tcPr>
          <w:p w:rsidR="00FD1DAD" w:rsidRDefault="0023347A">
            <w:pPr>
              <w:pStyle w:val="Normal1"/>
              <w:jc w:val="center"/>
              <w:rPr>
                <w:rFonts w:ascii="Tahoma" w:hAnsi="Tahoma" w:cs="Tahoma"/>
              </w:rPr>
            </w:pPr>
            <w:r>
              <w:rPr>
                <w:rFonts w:ascii="Tahoma" w:hAnsi="Tahoma" w:cs="Tahoma"/>
              </w:rPr>
              <w:t>0.046575%</w:t>
            </w:r>
          </w:p>
        </w:tc>
        <w:tc>
          <w:tcPr>
            <w:tcW w:w="226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D1DAD" w:rsidRDefault="0023347A">
            <w:pPr>
              <w:pStyle w:val="Normal1"/>
              <w:jc w:val="center"/>
              <w:rPr>
                <w:rFonts w:ascii="Tahoma" w:hAnsi="Tahoma" w:cs="Tahoma"/>
              </w:rPr>
            </w:pPr>
            <w:r>
              <w:rPr>
                <w:rFonts w:ascii="Tahoma" w:hAnsi="Tahoma" w:cs="Tahoma"/>
              </w:rPr>
              <w:t>17.00%</w:t>
            </w:r>
          </w:p>
        </w:tc>
      </w:tr>
      <w:tr w:rsidR="00FD1DAD" w:rsidTr="007A545E">
        <w:tc>
          <w:tcPr>
            <w:tcW w:w="2658" w:type="dxa"/>
            <w:tcBorders>
              <w:top w:val="single" w:sz="4" w:space="0" w:color="000001"/>
              <w:left w:val="single" w:sz="4" w:space="0" w:color="000001"/>
              <w:bottom w:val="single" w:sz="4" w:space="0" w:color="000001"/>
              <w:right w:val="nil"/>
            </w:tcBorders>
            <w:shd w:val="clear" w:color="auto" w:fill="FFFFFF"/>
            <w:tcMar>
              <w:left w:w="83" w:type="dxa"/>
            </w:tcMar>
          </w:tcPr>
          <w:p w:rsidR="00FD1DAD" w:rsidRDefault="0023347A">
            <w:pPr>
              <w:pStyle w:val="Normal1"/>
              <w:rPr>
                <w:rFonts w:ascii="Tahoma" w:hAnsi="Tahoma" w:cs="Tahoma"/>
              </w:rPr>
            </w:pPr>
            <w:r>
              <w:rPr>
                <w:rFonts w:ascii="Tahoma" w:hAnsi="Tahoma" w:cs="Tahoma"/>
              </w:rPr>
              <w:t>Share Secured</w:t>
            </w:r>
          </w:p>
        </w:tc>
        <w:tc>
          <w:tcPr>
            <w:tcW w:w="900" w:type="dxa"/>
            <w:tcBorders>
              <w:top w:val="single" w:sz="4" w:space="0" w:color="000001"/>
              <w:left w:val="single" w:sz="4" w:space="0" w:color="000001"/>
              <w:bottom w:val="single" w:sz="4" w:space="0" w:color="000001"/>
              <w:right w:val="nil"/>
            </w:tcBorders>
            <w:shd w:val="clear" w:color="auto" w:fill="FFFFFF"/>
            <w:tcMar>
              <w:left w:w="83" w:type="dxa"/>
            </w:tcMar>
          </w:tcPr>
          <w:p w:rsidR="00FD1DAD" w:rsidRDefault="0023347A">
            <w:pPr>
              <w:pStyle w:val="Normal1"/>
              <w:jc w:val="center"/>
              <w:rPr>
                <w:rFonts w:ascii="Tahoma" w:hAnsi="Tahoma" w:cs="Tahoma"/>
                <w:sz w:val="18"/>
              </w:rPr>
            </w:pPr>
            <w:r>
              <w:rPr>
                <w:rFonts w:ascii="Tahoma" w:hAnsi="Tahoma" w:cs="Tahoma"/>
                <w:sz w:val="18"/>
              </w:rPr>
              <w:t>12-60</w:t>
            </w:r>
          </w:p>
        </w:tc>
        <w:tc>
          <w:tcPr>
            <w:tcW w:w="3076" w:type="dxa"/>
            <w:tcBorders>
              <w:top w:val="single" w:sz="4" w:space="0" w:color="000001"/>
              <w:left w:val="single" w:sz="4" w:space="0" w:color="000001"/>
              <w:bottom w:val="single" w:sz="4" w:space="0" w:color="000001"/>
              <w:right w:val="nil"/>
            </w:tcBorders>
            <w:shd w:val="clear" w:color="auto" w:fill="FFFFFF"/>
            <w:tcMar>
              <w:left w:w="83" w:type="dxa"/>
            </w:tcMar>
          </w:tcPr>
          <w:p w:rsidR="00FD1DAD" w:rsidRDefault="0023347A">
            <w:pPr>
              <w:pStyle w:val="Normal1"/>
              <w:jc w:val="center"/>
              <w:rPr>
                <w:rFonts w:ascii="Tahoma" w:hAnsi="Tahoma" w:cs="Tahoma"/>
              </w:rPr>
            </w:pPr>
            <w:r>
              <w:rPr>
                <w:rFonts w:ascii="Tahoma" w:hAnsi="Tahoma" w:cs="Tahoma"/>
              </w:rPr>
              <w:t>0.008877%</w:t>
            </w:r>
          </w:p>
        </w:tc>
        <w:tc>
          <w:tcPr>
            <w:tcW w:w="226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D1DAD" w:rsidRDefault="0023347A">
            <w:pPr>
              <w:pStyle w:val="Normal1"/>
              <w:jc w:val="center"/>
              <w:rPr>
                <w:rFonts w:ascii="Tahoma" w:hAnsi="Tahoma" w:cs="Tahoma"/>
              </w:rPr>
            </w:pPr>
            <w:r>
              <w:rPr>
                <w:rFonts w:ascii="Tahoma" w:eastAsia="Tahoma" w:hAnsi="Tahoma" w:cs="Tahoma"/>
              </w:rPr>
              <w:t xml:space="preserve">  </w:t>
            </w:r>
            <w:r>
              <w:rPr>
                <w:rFonts w:ascii="Tahoma" w:hAnsi="Tahoma" w:cs="Tahoma"/>
              </w:rPr>
              <w:t>3.24%</w:t>
            </w:r>
          </w:p>
        </w:tc>
      </w:tr>
    </w:tbl>
    <w:p w:rsidR="00FD1DAD" w:rsidRDefault="00FD1DAD">
      <w:pPr>
        <w:pStyle w:val="Normal1"/>
        <w:rPr>
          <w:rFonts w:ascii="Tahoma" w:hAnsi="Tahoma" w:cs="Tahoma"/>
        </w:rPr>
      </w:pPr>
    </w:p>
    <w:p w:rsidR="00FD1DAD" w:rsidRDefault="0023347A">
      <w:pPr>
        <w:pStyle w:val="Normal1"/>
        <w:rPr>
          <w:rFonts w:ascii="Tahoma" w:hAnsi="Tahoma" w:cs="Tahoma"/>
        </w:rPr>
      </w:pPr>
      <w:r>
        <w:rPr>
          <w:rFonts w:ascii="Tahoma" w:hAnsi="Tahoma" w:cs="Tahoma"/>
        </w:rPr>
        <w:t xml:space="preserve">*The rate you receive </w:t>
      </w:r>
      <w:proofErr w:type="gramStart"/>
      <w:r>
        <w:rPr>
          <w:rFonts w:ascii="Tahoma" w:hAnsi="Tahoma" w:cs="Tahoma"/>
        </w:rPr>
        <w:t>will be based</w:t>
      </w:r>
      <w:proofErr w:type="gramEnd"/>
      <w:r>
        <w:rPr>
          <w:rFonts w:ascii="Tahoma" w:hAnsi="Tahoma" w:cs="Tahoma"/>
        </w:rPr>
        <w:t xml:space="preserve"> on your creditworthiness and is disclosed in the range above. Please ask your loan officer for more information and criteria.</w:t>
      </w:r>
    </w:p>
    <w:p w:rsidR="00FD1DAD" w:rsidRDefault="0023347A">
      <w:pPr>
        <w:pStyle w:val="Normal1"/>
        <w:rPr>
          <w:rFonts w:ascii="Tahoma" w:hAnsi="Tahoma" w:cs="Tahoma"/>
        </w:rPr>
      </w:pPr>
      <w:r>
        <w:rPr>
          <w:rFonts w:ascii="Tahoma" w:hAnsi="Tahoma" w:cs="Tahoma"/>
        </w:rPr>
        <w:t>**Indirect dealer vehicle loans are not a part of this plan and/or Credit Agreement.</w:t>
      </w:r>
    </w:p>
    <w:p w:rsidR="00FD1DAD" w:rsidRDefault="0023347A">
      <w:pPr>
        <w:pStyle w:val="Normal1"/>
        <w:rPr>
          <w:rFonts w:ascii="Tahoma" w:hAnsi="Tahoma" w:cs="Tahoma"/>
          <w:sz w:val="18"/>
        </w:rPr>
      </w:pPr>
      <w:r>
        <w:rPr>
          <w:rFonts w:ascii="Tahoma" w:hAnsi="Tahoma" w:cs="Tahoma"/>
          <w:b/>
          <w:sz w:val="18"/>
        </w:rPr>
        <w:t xml:space="preserve">Collection Costs (Ohio): </w:t>
      </w:r>
      <w:r w:rsidR="00BF565A">
        <w:rPr>
          <w:rFonts w:ascii="Tahoma" w:hAnsi="Tahoma" w:cs="Tahoma"/>
          <w:b/>
          <w:noProof/>
          <w:sz w:val="18"/>
          <w:lang w:eastAsia="en-US" w:bidi="ar-SA"/>
        </w:rPr>
        <mc:AlternateContent>
          <mc:Choice Requires="wps">
            <w:drawing>
              <wp:anchor distT="0" distB="0" distL="114300" distR="114300" simplePos="0" relativeHeight="251658240" behindDoc="0" locked="0" layoutInCell="1" allowOverlap="1">
                <wp:simplePos x="0" y="0"/>
                <wp:positionH relativeFrom="column">
                  <wp:posOffset>-86995</wp:posOffset>
                </wp:positionH>
                <wp:positionV relativeFrom="paragraph">
                  <wp:posOffset>10795</wp:posOffset>
                </wp:positionV>
                <wp:extent cx="6762115" cy="0"/>
                <wp:effectExtent l="8255" t="8890" r="11430" b="1016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115"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60"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A3372" id="shape_0" o:spid="_x0000_s1026" style="position:absolute;margin-left:-6.85pt;margin-top:.85pt;width:532.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" path="m,nfl21600,21600e" filled="f" strokeweight=".26mm">
                <v:stroke joinstyle="miter"/>
                <v:path o:connecttype="custom" o:connectlocs="6762115,1;3381058,1;0,1;3381058,0" o:connectangles="0,90,180,270" textboxrect="0,0,21600,0"/>
              </v:shape>
            </w:pict>
          </mc:Fallback>
        </mc:AlternateContent>
      </w:r>
      <w:r>
        <w:rPr>
          <w:rFonts w:ascii="Tahoma" w:hAnsi="Tahoma" w:cs="Tahoma"/>
          <w:sz w:val="18"/>
        </w:rPr>
        <w:t>You agree to pay all costs of collecting the amount you owe under this Agreement, including court costs and reasonable attorney fees as allowable by state law.</w:t>
      </w:r>
    </w:p>
    <w:p w:rsidR="00FD1DAD" w:rsidRDefault="0023347A">
      <w:pPr>
        <w:pStyle w:val="Normal1"/>
        <w:rPr>
          <w:rFonts w:ascii="Tahoma" w:hAnsi="Tahoma" w:cs="Tahoma"/>
          <w:sz w:val="18"/>
        </w:rPr>
      </w:pPr>
      <w:r>
        <w:rPr>
          <w:rFonts w:ascii="Tahoma" w:hAnsi="Tahoma" w:cs="Tahoma"/>
          <w:b/>
          <w:sz w:val="18"/>
        </w:rPr>
        <w:t xml:space="preserve">Late Charges: </w:t>
      </w:r>
      <w:r>
        <w:rPr>
          <w:rFonts w:ascii="Tahoma" w:hAnsi="Tahoma" w:cs="Tahoma"/>
          <w:sz w:val="18"/>
        </w:rPr>
        <w:t>For each payment that is more than 15 days late, you may be required to pay a late charge equaling 5% of the payment amount and will be no less than $5.00 and no more than $15.00.</w:t>
      </w:r>
    </w:p>
    <w:p w:rsidR="00FD1DAD" w:rsidRDefault="0023347A">
      <w:pPr>
        <w:pStyle w:val="Normal1"/>
        <w:rPr>
          <w:rFonts w:ascii="Tahoma" w:hAnsi="Tahoma" w:cs="Tahoma"/>
          <w:sz w:val="18"/>
        </w:rPr>
      </w:pPr>
      <w:r>
        <w:rPr>
          <w:rFonts w:ascii="Tahoma" w:hAnsi="Tahoma" w:cs="Tahoma"/>
          <w:b/>
          <w:sz w:val="18"/>
        </w:rPr>
        <w:t xml:space="preserve">Other Charges: </w:t>
      </w:r>
      <w:r>
        <w:rPr>
          <w:rFonts w:ascii="Tahoma" w:hAnsi="Tahoma" w:cs="Tahoma"/>
          <w:b/>
          <w:i/>
          <w:sz w:val="18"/>
        </w:rPr>
        <w:t xml:space="preserve">Non-sufficient Funds Charge.  </w:t>
      </w:r>
      <w:r>
        <w:rPr>
          <w:rFonts w:ascii="Tahoma" w:hAnsi="Tahoma" w:cs="Tahoma"/>
          <w:sz w:val="18"/>
        </w:rPr>
        <w:t>We may charge you a fee up to $28.00 if you pay your account with an</w:t>
      </w:r>
      <w:r w:rsidR="009438F4">
        <w:rPr>
          <w:rFonts w:ascii="Tahoma" w:hAnsi="Tahoma" w:cs="Tahoma"/>
          <w:sz w:val="18"/>
        </w:rPr>
        <w:t xml:space="preserve"> </w:t>
      </w:r>
      <w:r>
        <w:rPr>
          <w:rFonts w:ascii="Tahoma" w:hAnsi="Tahoma" w:cs="Tahoma"/>
          <w:sz w:val="18"/>
        </w:rPr>
        <w:t>insufficient funds check.</w:t>
      </w:r>
    </w:p>
    <w:p w:rsidR="00FD1DAD" w:rsidRDefault="0023347A">
      <w:pPr>
        <w:pStyle w:val="Normal1"/>
        <w:rPr>
          <w:rFonts w:ascii="Tahoma" w:hAnsi="Tahoma" w:cs="Tahoma"/>
          <w:sz w:val="18"/>
        </w:rPr>
      </w:pPr>
      <w:r>
        <w:rPr>
          <w:rFonts w:ascii="Tahoma" w:hAnsi="Tahoma" w:cs="Tahoma"/>
          <w:b/>
          <w:sz w:val="18"/>
        </w:rPr>
        <w:t xml:space="preserve">Preferred Rates: </w:t>
      </w:r>
      <w:r>
        <w:rPr>
          <w:rFonts w:ascii="Tahoma" w:hAnsi="Tahoma" w:cs="Tahoma"/>
          <w:sz w:val="18"/>
        </w:rPr>
        <w:t xml:space="preserve">For vehicle secured advances, the standard rate </w:t>
      </w:r>
      <w:proofErr w:type="gramStart"/>
      <w:r>
        <w:rPr>
          <w:rFonts w:ascii="Tahoma" w:hAnsi="Tahoma" w:cs="Tahoma"/>
          <w:sz w:val="18"/>
        </w:rPr>
        <w:t>will be reduced</w:t>
      </w:r>
      <w:proofErr w:type="gramEnd"/>
      <w:r>
        <w:rPr>
          <w:rFonts w:ascii="Tahoma" w:hAnsi="Tahoma" w:cs="Tahoma"/>
          <w:sz w:val="18"/>
        </w:rPr>
        <w:t xml:space="preserve"> by .10% if you are a </w:t>
      </w:r>
      <w:proofErr w:type="spellStart"/>
      <w:r>
        <w:rPr>
          <w:rFonts w:ascii="Tahoma" w:hAnsi="Tahoma" w:cs="Tahoma"/>
          <w:sz w:val="18"/>
        </w:rPr>
        <w:t>TruBenefits</w:t>
      </w:r>
      <w:proofErr w:type="spellEnd"/>
      <w:r>
        <w:rPr>
          <w:rFonts w:ascii="Tahoma" w:hAnsi="Tahoma" w:cs="Tahoma"/>
          <w:sz w:val="18"/>
        </w:rPr>
        <w:t xml:space="preserve"> member, and by </w:t>
      </w:r>
    </w:p>
    <w:p w:rsidR="00FD1DAD" w:rsidRDefault="0023347A">
      <w:pPr>
        <w:pStyle w:val="Normal1"/>
        <w:rPr>
          <w:rFonts w:ascii="Tahoma" w:hAnsi="Tahoma" w:cs="Tahoma"/>
          <w:sz w:val="18"/>
        </w:rPr>
      </w:pPr>
      <w:bookmarkStart w:id="1" w:name="__DdeLink__330_1515980090"/>
      <w:bookmarkEnd w:id="1"/>
      <w:r>
        <w:rPr>
          <w:rFonts w:ascii="Tahoma" w:hAnsi="Tahoma" w:cs="Tahoma"/>
          <w:sz w:val="18"/>
        </w:rPr>
        <w:t xml:space="preserve">.25% if you are a </w:t>
      </w:r>
      <w:proofErr w:type="spellStart"/>
      <w:r>
        <w:rPr>
          <w:rFonts w:ascii="Tahoma" w:hAnsi="Tahoma" w:cs="Tahoma"/>
          <w:sz w:val="18"/>
        </w:rPr>
        <w:t>TruAdvantages</w:t>
      </w:r>
      <w:proofErr w:type="spellEnd"/>
      <w:r>
        <w:rPr>
          <w:rFonts w:ascii="Tahoma" w:hAnsi="Tahoma" w:cs="Tahoma"/>
          <w:sz w:val="18"/>
        </w:rPr>
        <w:t xml:space="preserve"> member.  If you discontinue the products or </w:t>
      </w:r>
      <w:proofErr w:type="gramStart"/>
      <w:r>
        <w:rPr>
          <w:rFonts w:ascii="Tahoma" w:hAnsi="Tahoma" w:cs="Tahoma"/>
          <w:sz w:val="18"/>
        </w:rPr>
        <w:t>services which made you eligible for the discount</w:t>
      </w:r>
      <w:proofErr w:type="gramEnd"/>
      <w:r>
        <w:rPr>
          <w:rFonts w:ascii="Tahoma" w:hAnsi="Tahoma" w:cs="Tahoma"/>
          <w:sz w:val="18"/>
        </w:rPr>
        <w:t xml:space="preserve"> your rate may increase back to the standard rate. </w:t>
      </w:r>
    </w:p>
    <w:p w:rsidR="00FD1DAD" w:rsidRDefault="0023347A">
      <w:pPr>
        <w:pStyle w:val="Normal1"/>
        <w:pBdr>
          <w:top w:val="nil"/>
          <w:left w:val="nil"/>
          <w:bottom w:val="single" w:sz="24" w:space="31" w:color="000001"/>
          <w:right w:val="nil"/>
        </w:pBdr>
        <w:rPr>
          <w:rFonts w:ascii="Tahoma" w:hAnsi="Tahoma" w:cs="Tahoma"/>
          <w:sz w:val="18"/>
        </w:rPr>
      </w:pPr>
      <w:r>
        <w:rPr>
          <w:rFonts w:ascii="Tahoma" w:hAnsi="Tahoma" w:cs="Tahoma"/>
          <w:b/>
          <w:sz w:val="18"/>
        </w:rPr>
        <w:t>GAP Insurance</w:t>
      </w:r>
      <w:r>
        <w:rPr>
          <w:rFonts w:ascii="Tahoma" w:hAnsi="Tahoma" w:cs="Tahoma"/>
          <w:sz w:val="18"/>
        </w:rPr>
        <w:t>: We offer (GAP) insurance on vehicle advances. This insurance coverage is voluntary and is not required to obtain the advance. If you purchase coverage from the credit union, the cost will be $</w:t>
      </w:r>
      <w:r w:rsidR="003B59A1">
        <w:rPr>
          <w:rFonts w:ascii="Tahoma" w:hAnsi="Tahoma" w:cs="Tahoma"/>
          <w:sz w:val="18"/>
        </w:rPr>
        <w:t>550</w:t>
      </w:r>
      <w:r>
        <w:rPr>
          <w:rFonts w:ascii="Tahoma" w:hAnsi="Tahoma" w:cs="Tahoma"/>
          <w:sz w:val="18"/>
        </w:rPr>
        <w:t>.00. The credit union may retain a portion of the insurance premium.</w:t>
      </w:r>
    </w:p>
    <w:p w:rsidR="00FD1DAD" w:rsidRDefault="0023347A">
      <w:pPr>
        <w:pStyle w:val="Normal1"/>
        <w:pBdr>
          <w:top w:val="nil"/>
          <w:left w:val="nil"/>
          <w:bottom w:val="single" w:sz="24" w:space="31" w:color="000001"/>
          <w:right w:val="nil"/>
        </w:pBdr>
        <w:rPr>
          <w:rFonts w:ascii="Tahoma" w:hAnsi="Tahoma" w:cs="Tahoma"/>
          <w:sz w:val="18"/>
        </w:rPr>
      </w:pPr>
      <w:r>
        <w:rPr>
          <w:rFonts w:ascii="Tahoma" w:hAnsi="Tahoma" w:cs="Tahoma"/>
          <w:b/>
          <w:sz w:val="18"/>
        </w:rPr>
        <w:t xml:space="preserve">Overdraft Line of Credit Advances: </w:t>
      </w:r>
      <w:r>
        <w:rPr>
          <w:rFonts w:ascii="Tahoma" w:hAnsi="Tahoma" w:cs="Tahoma"/>
          <w:sz w:val="18"/>
        </w:rPr>
        <w:t>Overdraft Line of Credit advances in increments of $100</w:t>
      </w:r>
      <w:r w:rsidR="009438F4">
        <w:rPr>
          <w:rFonts w:ascii="Tahoma" w:hAnsi="Tahoma" w:cs="Tahoma"/>
          <w:sz w:val="18"/>
        </w:rPr>
        <w:t xml:space="preserve">.   If the amount needed in the </w:t>
      </w:r>
      <w:r>
        <w:rPr>
          <w:rFonts w:ascii="Tahoma" w:hAnsi="Tahoma" w:cs="Tahoma"/>
          <w:sz w:val="18"/>
        </w:rPr>
        <w:t xml:space="preserve">checking account to clear a check is within the credit limit of the Overdraft Line of Credit, but the available credit is insufficient to transfer in an increment of $100, the Overdraft Line of Credit </w:t>
      </w:r>
      <w:proofErr w:type="gramStart"/>
      <w:r>
        <w:rPr>
          <w:rFonts w:ascii="Tahoma" w:hAnsi="Tahoma" w:cs="Tahoma"/>
          <w:sz w:val="18"/>
        </w:rPr>
        <w:t>will be advanced</w:t>
      </w:r>
      <w:proofErr w:type="gramEnd"/>
      <w:r>
        <w:rPr>
          <w:rFonts w:ascii="Tahoma" w:hAnsi="Tahoma" w:cs="Tahoma"/>
          <w:sz w:val="18"/>
        </w:rPr>
        <w:t xml:space="preserve"> for the exact amount needed to pay the check.</w:t>
      </w:r>
    </w:p>
    <w:p w:rsidR="00FD1DAD" w:rsidRDefault="0023347A">
      <w:pPr>
        <w:pStyle w:val="Normal1"/>
        <w:pBdr>
          <w:top w:val="nil"/>
          <w:left w:val="nil"/>
          <w:bottom w:val="single" w:sz="24" w:space="31" w:color="000001"/>
          <w:right w:val="nil"/>
        </w:pBdr>
        <w:rPr>
          <w:rFonts w:ascii="Tahoma" w:hAnsi="Tahoma" w:cs="Tahoma"/>
          <w:sz w:val="18"/>
        </w:rPr>
      </w:pPr>
      <w:r>
        <w:rPr>
          <w:rFonts w:ascii="Tahoma" w:hAnsi="Tahoma" w:cs="Tahoma"/>
          <w:b/>
          <w:sz w:val="18"/>
        </w:rPr>
        <w:t>Certificate Secured Advances:</w:t>
      </w:r>
      <w:r>
        <w:rPr>
          <w:rFonts w:ascii="Tahoma" w:hAnsi="Tahoma" w:cs="Tahoma"/>
          <w:sz w:val="18"/>
        </w:rPr>
        <w:t xml:space="preserve"> The balance of the shares in a share certificate </w:t>
      </w:r>
      <w:proofErr w:type="gramStart"/>
      <w:r>
        <w:rPr>
          <w:rFonts w:ascii="Tahoma" w:hAnsi="Tahoma" w:cs="Tahoma"/>
          <w:sz w:val="18"/>
        </w:rPr>
        <w:t>will not be released</w:t>
      </w:r>
      <w:proofErr w:type="gramEnd"/>
      <w:r>
        <w:rPr>
          <w:rFonts w:ascii="Tahoma" w:hAnsi="Tahoma" w:cs="Tahoma"/>
          <w:sz w:val="18"/>
        </w:rPr>
        <w:t xml:space="preserve"> during the life of the loan.  In the event the share certificate matures prior to the full repayment of the loan, a new share certificate may be opened and continue to secure the loan or the shares may be transferred to a share account and pledged as collateral for the remaining life of the loan.  </w:t>
      </w:r>
      <w:proofErr w:type="gramStart"/>
      <w:r>
        <w:rPr>
          <w:rFonts w:ascii="Tahoma" w:hAnsi="Tahoma" w:cs="Tahoma"/>
          <w:sz w:val="18"/>
        </w:rPr>
        <w:t>in</w:t>
      </w:r>
      <w:proofErr w:type="gramEnd"/>
      <w:r>
        <w:rPr>
          <w:rFonts w:ascii="Tahoma" w:hAnsi="Tahoma" w:cs="Tahoma"/>
          <w:sz w:val="18"/>
        </w:rPr>
        <w:t xml:space="preserve"> the event of delinquency, we may transfer the funds from the certificate to pay the balance of the loan.  You understand that there will be an interest penalty if the transfer is required before the maturity of the share certificate.</w:t>
      </w:r>
    </w:p>
    <w:p w:rsidR="00FD1DAD" w:rsidRDefault="00FD1DAD">
      <w:pPr>
        <w:pStyle w:val="Normal1"/>
        <w:rPr>
          <w:rFonts w:ascii="Tahoma" w:hAnsi="Tahoma" w:cs="Tahoma"/>
          <w:b/>
          <w:sz w:val="18"/>
        </w:rPr>
      </w:pPr>
    </w:p>
    <w:p w:rsidR="00FD1DAD" w:rsidRDefault="0023347A">
      <w:pPr>
        <w:pStyle w:val="Normal1"/>
        <w:rPr>
          <w:rFonts w:ascii="Tahoma" w:hAnsi="Tahoma" w:cs="Tahoma"/>
          <w:sz w:val="18"/>
        </w:rPr>
      </w:pPr>
      <w:r>
        <w:rPr>
          <w:rFonts w:ascii="Tahoma" w:hAnsi="Tahoma" w:cs="Tahoma"/>
          <w:b/>
          <w:sz w:val="18"/>
        </w:rPr>
        <w:t xml:space="preserve">Minimum Payment: </w:t>
      </w:r>
      <w:r>
        <w:rPr>
          <w:rFonts w:ascii="Tahoma" w:hAnsi="Tahoma" w:cs="Tahoma"/>
          <w:sz w:val="18"/>
        </w:rPr>
        <w:t>The</w:t>
      </w:r>
      <w:r>
        <w:rPr>
          <w:rFonts w:ascii="Tahoma" w:hAnsi="Tahoma" w:cs="Tahoma"/>
          <w:b/>
          <w:sz w:val="18"/>
        </w:rPr>
        <w:t xml:space="preserve"> </w:t>
      </w:r>
      <w:r>
        <w:rPr>
          <w:rFonts w:ascii="Tahoma" w:hAnsi="Tahoma" w:cs="Tahoma"/>
          <w:sz w:val="18"/>
        </w:rPr>
        <w:t xml:space="preserve">minimum payment amount on any sub-account, with the exception of the Line of Credit and the Overdraft LOC, will be no less than $50.00.  The payment amount on Variable Rate Lines of Credit and the Overdraft LOC sub-accounts shall be </w:t>
      </w:r>
      <w:r>
        <w:rPr>
          <w:rFonts w:ascii="Tahoma" w:hAnsi="Tahoma" w:cs="Tahoma"/>
          <w:sz w:val="18"/>
        </w:rPr>
        <w:lastRenderedPageBreak/>
        <w:t xml:space="preserve">$3.00 per month for each $100 (or faction thereof) of outstanding principal balance calculated after each advance, but not less than $25.00 per month.  Minimum monthly payments </w:t>
      </w:r>
      <w:proofErr w:type="gramStart"/>
      <w:r>
        <w:rPr>
          <w:rFonts w:ascii="Tahoma" w:hAnsi="Tahoma" w:cs="Tahoma"/>
          <w:sz w:val="18"/>
        </w:rPr>
        <w:t>shall not be reduced</w:t>
      </w:r>
      <w:proofErr w:type="gramEnd"/>
      <w:r>
        <w:rPr>
          <w:rFonts w:ascii="Tahoma" w:hAnsi="Tahoma" w:cs="Tahoma"/>
          <w:sz w:val="18"/>
        </w:rPr>
        <w:t xml:space="preserve"> even though the principal balance declines as payments are made.  When subsequent advances on the Variable Rate Lines of Credit or the Overdraft LOC result in an increase in the minimum monthly </w:t>
      </w:r>
      <w:r w:rsidR="009438F4">
        <w:rPr>
          <w:rFonts w:ascii="Tahoma" w:hAnsi="Tahoma" w:cs="Tahoma"/>
          <w:sz w:val="18"/>
        </w:rPr>
        <w:t>payment, such increase shall be</w:t>
      </w:r>
      <w:r>
        <w:rPr>
          <w:rFonts w:ascii="Tahoma" w:hAnsi="Tahoma" w:cs="Tahoma"/>
          <w:sz w:val="18"/>
        </w:rPr>
        <w:t>come effective on the applicable due date of the month following the month in which the advance was made.</w:t>
      </w:r>
    </w:p>
    <w:p w:rsidR="00FD1DAD" w:rsidRDefault="00BF565A">
      <w:pPr>
        <w:pStyle w:val="Normal1"/>
      </w:pPr>
      <w:r>
        <w:rPr>
          <w:noProof/>
          <w:lang w:eastAsia="en-US" w:bidi="ar-SA"/>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111760</wp:posOffset>
                </wp:positionV>
                <wp:extent cx="7037705" cy="0"/>
                <wp:effectExtent l="19685" t="15875" r="19685" b="22225"/>
                <wp:wrapNone/>
                <wp:docPr id="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7705"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28440"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E505B" id="shape_0" o:spid="_x0000_s1026" style="position:absolute;margin-left:.05pt;margin-top:8.8pt;width:554.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" path="m,nfl21600,21600e" filled="f" strokeweight=".79mm">
                <v:stroke joinstyle="miter"/>
                <v:path o:connecttype="custom" o:connectlocs="7037705,1;3518853,1;0,1;3518853,0" o:connectangles="0,90,180,270" textboxrect="0,0,21600,0"/>
              </v:shape>
            </w:pict>
          </mc:Fallback>
        </mc:AlternateContent>
      </w:r>
    </w:p>
    <w:p w:rsidR="00FD1DAD" w:rsidRDefault="0023347A">
      <w:pPr>
        <w:pStyle w:val="Heading"/>
        <w:rPr>
          <w:rFonts w:ascii="Tahoma" w:hAnsi="Tahoma" w:cs="Tahoma"/>
          <w:sz w:val="18"/>
        </w:rPr>
      </w:pPr>
      <w:r>
        <w:rPr>
          <w:rFonts w:ascii="Tahoma" w:hAnsi="Tahoma" w:cs="Tahoma"/>
          <w:sz w:val="18"/>
        </w:rPr>
        <w:t>Variable Rate Lines of Credit</w:t>
      </w:r>
    </w:p>
    <w:p w:rsidR="00FD1DAD" w:rsidRDefault="0023347A">
      <w:pPr>
        <w:pStyle w:val="Normal1"/>
        <w:numPr>
          <w:ilvl w:val="0"/>
          <w:numId w:val="1"/>
        </w:numPr>
        <w:rPr>
          <w:rFonts w:ascii="Tahoma" w:hAnsi="Tahoma" w:cs="Tahoma"/>
          <w:b/>
          <w:sz w:val="18"/>
        </w:rPr>
      </w:pPr>
      <w:r>
        <w:rPr>
          <w:rFonts w:ascii="Tahoma" w:hAnsi="Tahoma" w:cs="Tahoma"/>
          <w:b/>
          <w:sz w:val="18"/>
        </w:rPr>
        <w:t>TRU LINE:</w:t>
      </w:r>
    </w:p>
    <w:p w:rsidR="00FD1DAD" w:rsidRDefault="0023347A">
      <w:pPr>
        <w:pStyle w:val="Normal1"/>
        <w:ind w:left="360"/>
        <w:rPr>
          <w:rFonts w:ascii="Tahoma" w:hAnsi="Tahoma" w:cs="Tahoma"/>
          <w:sz w:val="18"/>
        </w:rPr>
      </w:pPr>
      <w:r>
        <w:rPr>
          <w:rFonts w:ascii="Tahoma" w:hAnsi="Tahoma" w:cs="Tahoma"/>
          <w:sz w:val="18"/>
          <w:u w:val="single"/>
        </w:rPr>
        <w:t>SECURITY INTEREST:</w:t>
      </w:r>
      <w:r>
        <w:rPr>
          <w:rFonts w:ascii="Tahoma" w:hAnsi="Tahoma" w:cs="Tahoma"/>
          <w:sz w:val="18"/>
        </w:rPr>
        <w:t xml:space="preserve">  None- Unsecured</w:t>
      </w:r>
    </w:p>
    <w:p w:rsidR="00FD1DAD" w:rsidRDefault="0023347A">
      <w:pPr>
        <w:pStyle w:val="Normal1"/>
        <w:ind w:left="360"/>
        <w:rPr>
          <w:rFonts w:ascii="Tahoma" w:hAnsi="Tahoma" w:cs="Tahoma"/>
          <w:sz w:val="18"/>
        </w:rPr>
      </w:pPr>
      <w:r>
        <w:rPr>
          <w:rFonts w:ascii="Tahoma" w:hAnsi="Tahoma" w:cs="Tahoma"/>
          <w:sz w:val="18"/>
          <w:u w:val="single"/>
        </w:rPr>
        <w:t>APR:</w:t>
      </w:r>
      <w:r>
        <w:rPr>
          <w:rFonts w:ascii="Tahoma" w:hAnsi="Tahoma" w:cs="Tahoma"/>
          <w:sz w:val="18"/>
        </w:rPr>
        <w:t xml:space="preserve">  To determine the annual percentage rate, we will add a margin o</w:t>
      </w:r>
      <w:r w:rsidR="009438F4">
        <w:rPr>
          <w:rFonts w:ascii="Tahoma" w:hAnsi="Tahoma" w:cs="Tahoma"/>
          <w:sz w:val="18"/>
        </w:rPr>
        <w:t xml:space="preserve">f 6% to the value of the index </w:t>
      </w:r>
      <w:r>
        <w:rPr>
          <w:rFonts w:ascii="Tahoma" w:hAnsi="Tahoma" w:cs="Tahoma"/>
          <w:sz w:val="18"/>
        </w:rPr>
        <w:t>(see Variable Rate Features and Rate Changes / Share draft Access disclosures below).</w:t>
      </w:r>
    </w:p>
    <w:p w:rsidR="00FD1DAD" w:rsidRDefault="00FD1DAD">
      <w:pPr>
        <w:pStyle w:val="Normal1"/>
        <w:ind w:left="360"/>
        <w:rPr>
          <w:rFonts w:ascii="Tahoma" w:hAnsi="Tahoma" w:cs="Tahoma"/>
          <w:sz w:val="18"/>
          <w:u w:val="single"/>
        </w:rPr>
      </w:pPr>
    </w:p>
    <w:p w:rsidR="00FD1DAD" w:rsidRDefault="0023347A">
      <w:pPr>
        <w:pStyle w:val="Normal1"/>
        <w:numPr>
          <w:ilvl w:val="0"/>
          <w:numId w:val="2"/>
        </w:numPr>
        <w:rPr>
          <w:rFonts w:ascii="Tahoma" w:hAnsi="Tahoma" w:cs="Tahoma"/>
          <w:b/>
          <w:sz w:val="18"/>
        </w:rPr>
      </w:pPr>
      <w:r>
        <w:rPr>
          <w:rFonts w:ascii="Tahoma" w:hAnsi="Tahoma" w:cs="Tahoma"/>
          <w:b/>
          <w:sz w:val="18"/>
        </w:rPr>
        <w:t>TRU LINE Plus:</w:t>
      </w:r>
    </w:p>
    <w:p w:rsidR="00FD1DAD" w:rsidRDefault="0023347A">
      <w:pPr>
        <w:pStyle w:val="Normal1"/>
        <w:ind w:left="360"/>
        <w:rPr>
          <w:rFonts w:ascii="Tahoma" w:hAnsi="Tahoma" w:cs="Tahoma"/>
          <w:sz w:val="18"/>
        </w:rPr>
      </w:pPr>
      <w:r>
        <w:rPr>
          <w:rFonts w:ascii="Tahoma" w:hAnsi="Tahoma" w:cs="Tahoma"/>
          <w:sz w:val="18"/>
          <w:u w:val="single"/>
        </w:rPr>
        <w:t>SECURITY INTEREST:</w:t>
      </w:r>
      <w:r>
        <w:rPr>
          <w:rFonts w:ascii="Tahoma" w:hAnsi="Tahoma" w:cs="Tahoma"/>
          <w:sz w:val="18"/>
        </w:rPr>
        <w:t xml:space="preserve">  We will take a security interest in </w:t>
      </w:r>
      <w:r>
        <w:rPr>
          <w:rFonts w:ascii="Tahoma" w:hAnsi="Tahoma" w:cs="Tahoma"/>
          <w:b/>
          <w:sz w:val="18"/>
        </w:rPr>
        <w:t>shares or share certificates equaling 50% or more of the credit limit</w:t>
      </w:r>
      <w:r>
        <w:rPr>
          <w:rFonts w:ascii="Tahoma" w:hAnsi="Tahoma" w:cs="Tahoma"/>
          <w:sz w:val="18"/>
        </w:rPr>
        <w:t xml:space="preserve"> established on the line of credit.  The shares </w:t>
      </w:r>
      <w:proofErr w:type="gramStart"/>
      <w:r>
        <w:rPr>
          <w:rFonts w:ascii="Tahoma" w:hAnsi="Tahoma" w:cs="Tahoma"/>
          <w:sz w:val="18"/>
        </w:rPr>
        <w:t>will not be released</w:t>
      </w:r>
      <w:proofErr w:type="gramEnd"/>
      <w:r>
        <w:rPr>
          <w:rFonts w:ascii="Tahoma" w:hAnsi="Tahoma" w:cs="Tahoma"/>
          <w:sz w:val="18"/>
        </w:rPr>
        <w:t xml:space="preserve"> as long as the account remains open or a balance of obligation remains, whichever occurs later.  In the event a share certificate matures prior to account closure, a new share certificate may be opened and continue to secure the line of credit or the shares transferred to a share account and pledged as collateral for as long as the line of credit remains open or a balance of obligation remains, whichever occurs later.  You understand that there will be an interest penalty if the transfer of a certificate is required before the maturity of the share certificates.  You understand that in the event of default, the funds in the share or share certificate </w:t>
      </w:r>
      <w:proofErr w:type="gramStart"/>
      <w:r>
        <w:rPr>
          <w:rFonts w:ascii="Tahoma" w:hAnsi="Tahoma" w:cs="Tahoma"/>
          <w:sz w:val="18"/>
        </w:rPr>
        <w:t>will be used</w:t>
      </w:r>
      <w:proofErr w:type="gramEnd"/>
      <w:r>
        <w:rPr>
          <w:rFonts w:ascii="Tahoma" w:hAnsi="Tahoma" w:cs="Tahoma"/>
          <w:sz w:val="18"/>
        </w:rPr>
        <w:t xml:space="preserve"> to offset the obligation on the account.</w:t>
      </w:r>
    </w:p>
    <w:p w:rsidR="00FD1DAD" w:rsidRDefault="0023347A">
      <w:pPr>
        <w:pStyle w:val="Normal1"/>
        <w:ind w:left="360"/>
        <w:rPr>
          <w:rFonts w:ascii="Tahoma" w:hAnsi="Tahoma" w:cs="Tahoma"/>
          <w:sz w:val="18"/>
        </w:rPr>
      </w:pPr>
      <w:r>
        <w:rPr>
          <w:rFonts w:ascii="Tahoma" w:hAnsi="Tahoma" w:cs="Tahoma"/>
          <w:sz w:val="18"/>
          <w:u w:val="single"/>
        </w:rPr>
        <w:t>APR:</w:t>
      </w:r>
      <w:r>
        <w:rPr>
          <w:rFonts w:ascii="Tahoma" w:hAnsi="Tahoma" w:cs="Tahoma"/>
          <w:sz w:val="18"/>
        </w:rPr>
        <w:t xml:space="preserve"> To determine the annual percentage rate, we will add a margin o</w:t>
      </w:r>
      <w:r w:rsidR="009438F4">
        <w:rPr>
          <w:rFonts w:ascii="Tahoma" w:hAnsi="Tahoma" w:cs="Tahoma"/>
          <w:sz w:val="18"/>
        </w:rPr>
        <w:t xml:space="preserve">f 3% to the value of the index </w:t>
      </w:r>
      <w:r>
        <w:rPr>
          <w:rFonts w:ascii="Tahoma" w:hAnsi="Tahoma" w:cs="Tahoma"/>
          <w:sz w:val="18"/>
        </w:rPr>
        <w:t>(see Variable Rate Features and Rate Changes/ Share draft Access disclosures below).</w:t>
      </w:r>
    </w:p>
    <w:p w:rsidR="00FD1DAD" w:rsidRDefault="00FD1DAD">
      <w:pPr>
        <w:pStyle w:val="Normal1"/>
        <w:ind w:left="360"/>
        <w:rPr>
          <w:rFonts w:ascii="Tahoma" w:hAnsi="Tahoma" w:cs="Tahoma"/>
          <w:sz w:val="18"/>
        </w:rPr>
      </w:pPr>
    </w:p>
    <w:p w:rsidR="00FD1DAD" w:rsidRDefault="0023347A">
      <w:pPr>
        <w:pStyle w:val="Normal1"/>
        <w:numPr>
          <w:ilvl w:val="0"/>
          <w:numId w:val="3"/>
        </w:numPr>
        <w:rPr>
          <w:rFonts w:ascii="Tahoma" w:hAnsi="Tahoma" w:cs="Tahoma"/>
          <w:b/>
          <w:sz w:val="18"/>
        </w:rPr>
      </w:pPr>
      <w:r>
        <w:rPr>
          <w:rFonts w:ascii="Tahoma" w:hAnsi="Tahoma" w:cs="Tahoma"/>
          <w:b/>
          <w:sz w:val="18"/>
        </w:rPr>
        <w:t>TRU LINE Premium:</w:t>
      </w:r>
    </w:p>
    <w:p w:rsidR="00FD1DAD" w:rsidRDefault="0023347A">
      <w:pPr>
        <w:pStyle w:val="Normal1"/>
        <w:ind w:left="360"/>
        <w:rPr>
          <w:rFonts w:ascii="Tahoma" w:hAnsi="Tahoma" w:cs="Tahoma"/>
          <w:sz w:val="18"/>
        </w:rPr>
      </w:pPr>
      <w:r>
        <w:rPr>
          <w:rFonts w:ascii="Tahoma" w:hAnsi="Tahoma" w:cs="Tahoma"/>
          <w:sz w:val="18"/>
          <w:u w:val="single"/>
        </w:rPr>
        <w:t>SECURITY INTEREST:</w:t>
      </w:r>
      <w:r>
        <w:rPr>
          <w:rFonts w:ascii="Tahoma" w:hAnsi="Tahoma" w:cs="Tahoma"/>
          <w:sz w:val="18"/>
        </w:rPr>
        <w:t xml:space="preserve">  We will take a security interest in </w:t>
      </w:r>
      <w:r>
        <w:rPr>
          <w:rFonts w:ascii="Tahoma" w:hAnsi="Tahoma" w:cs="Tahoma"/>
          <w:b/>
          <w:sz w:val="18"/>
        </w:rPr>
        <w:t>shares or share certificates equaling 100% or more of the credit limit</w:t>
      </w:r>
      <w:r>
        <w:rPr>
          <w:rFonts w:ascii="Tahoma" w:hAnsi="Tahoma" w:cs="Tahoma"/>
          <w:sz w:val="18"/>
        </w:rPr>
        <w:t xml:space="preserve"> established on the line of credit.  The shares </w:t>
      </w:r>
      <w:proofErr w:type="gramStart"/>
      <w:r>
        <w:rPr>
          <w:rFonts w:ascii="Tahoma" w:hAnsi="Tahoma" w:cs="Tahoma"/>
          <w:sz w:val="18"/>
        </w:rPr>
        <w:t>will not be released</w:t>
      </w:r>
      <w:proofErr w:type="gramEnd"/>
      <w:r>
        <w:rPr>
          <w:rFonts w:ascii="Tahoma" w:hAnsi="Tahoma" w:cs="Tahoma"/>
          <w:sz w:val="18"/>
        </w:rPr>
        <w:t xml:space="preserve"> as long as the account remains open or a balance of obligation remains, whichever occurs later.  In the event a share certificate matures prior to account closure, a new share certificate may be opened and continue to secure the line of credit or the shares transferred to a share account and pledged as collateral for as long as the line of credit remains open or a balance of obligation remains, whichever occurs later.  You understand that there will be an interest penalty if the transfer of a certificate is required before the maturity of the share certificates.  You understand that in the event of default, the funds in the share or share certificate </w:t>
      </w:r>
      <w:proofErr w:type="gramStart"/>
      <w:r>
        <w:rPr>
          <w:rFonts w:ascii="Tahoma" w:hAnsi="Tahoma" w:cs="Tahoma"/>
          <w:sz w:val="18"/>
        </w:rPr>
        <w:t>will be used</w:t>
      </w:r>
      <w:proofErr w:type="gramEnd"/>
      <w:r>
        <w:rPr>
          <w:rFonts w:ascii="Tahoma" w:hAnsi="Tahoma" w:cs="Tahoma"/>
          <w:sz w:val="18"/>
        </w:rPr>
        <w:t xml:space="preserve"> to offset the obligation on the account.</w:t>
      </w:r>
    </w:p>
    <w:p w:rsidR="00FD1DAD" w:rsidRDefault="0023347A">
      <w:pPr>
        <w:pStyle w:val="Normal1"/>
        <w:ind w:left="360"/>
        <w:rPr>
          <w:rFonts w:ascii="Tahoma" w:hAnsi="Tahoma" w:cs="Tahoma"/>
          <w:sz w:val="18"/>
        </w:rPr>
      </w:pPr>
      <w:r>
        <w:rPr>
          <w:rFonts w:ascii="Tahoma" w:hAnsi="Tahoma" w:cs="Tahoma"/>
          <w:sz w:val="18"/>
          <w:u w:val="single"/>
        </w:rPr>
        <w:t>APR:</w:t>
      </w:r>
      <w:r>
        <w:rPr>
          <w:rFonts w:ascii="Tahoma" w:hAnsi="Tahoma" w:cs="Tahoma"/>
          <w:sz w:val="18"/>
        </w:rPr>
        <w:t xml:space="preserve"> To determine the annual percentage rate, we will add a margin o</w:t>
      </w:r>
      <w:r w:rsidR="009438F4">
        <w:rPr>
          <w:rFonts w:ascii="Tahoma" w:hAnsi="Tahoma" w:cs="Tahoma"/>
          <w:sz w:val="18"/>
        </w:rPr>
        <w:t xml:space="preserve">f 0% to the value of the index </w:t>
      </w:r>
      <w:r>
        <w:rPr>
          <w:rFonts w:ascii="Tahoma" w:hAnsi="Tahoma" w:cs="Tahoma"/>
          <w:sz w:val="18"/>
        </w:rPr>
        <w:t>(see Variable Rate Features and Rate Changes/ Share draft Access disclosures below).</w:t>
      </w:r>
    </w:p>
    <w:p w:rsidR="00FD1DAD" w:rsidRDefault="00FD1DAD">
      <w:pPr>
        <w:pStyle w:val="Normal1"/>
        <w:ind w:left="360"/>
        <w:rPr>
          <w:rFonts w:ascii="Tahoma" w:hAnsi="Tahoma" w:cs="Tahoma"/>
          <w:sz w:val="18"/>
          <w:u w:val="single"/>
        </w:rPr>
      </w:pPr>
    </w:p>
    <w:p w:rsidR="00FD1DAD" w:rsidRDefault="0023347A">
      <w:pPr>
        <w:pStyle w:val="Normal1"/>
        <w:ind w:left="360"/>
        <w:rPr>
          <w:rFonts w:ascii="Tahoma" w:hAnsi="Tahoma" w:cs="Tahoma"/>
          <w:b/>
          <w:sz w:val="18"/>
        </w:rPr>
      </w:pPr>
      <w:r>
        <w:rPr>
          <w:rFonts w:ascii="Tahoma" w:hAnsi="Tahoma" w:cs="Tahoma"/>
          <w:b/>
          <w:sz w:val="18"/>
          <w:u w:val="single"/>
        </w:rPr>
        <w:t>VARIABLE RATE FEATURE AND RATE CHANGES:</w:t>
      </w:r>
      <w:r>
        <w:rPr>
          <w:rFonts w:ascii="Tahoma" w:hAnsi="Tahoma" w:cs="Tahoma"/>
          <w:b/>
          <w:sz w:val="18"/>
        </w:rPr>
        <w:t xml:space="preserve">   (All TRU LINE Types)</w:t>
      </w:r>
    </w:p>
    <w:p w:rsidR="00FD1DAD" w:rsidRDefault="0023347A">
      <w:pPr>
        <w:pStyle w:val="Normal1"/>
        <w:ind w:left="360"/>
        <w:rPr>
          <w:rFonts w:ascii="Tahoma" w:hAnsi="Tahoma" w:cs="Tahoma"/>
          <w:sz w:val="18"/>
        </w:rPr>
      </w:pPr>
      <w:r>
        <w:rPr>
          <w:rFonts w:ascii="Tahoma" w:hAnsi="Tahoma" w:cs="Tahoma"/>
          <w:sz w:val="18"/>
        </w:rPr>
        <w:t xml:space="preserve">The Annual Percentage Rate (APR) for; the Line of Credit advances will change quarterly on the first day of January, April, July and October to reflect any change in the index and will be determined by starting with an independent index, (the “Index”), which is the </w:t>
      </w:r>
      <w:r>
        <w:rPr>
          <w:rFonts w:ascii="Tahoma" w:hAnsi="Tahoma" w:cs="Tahoma"/>
          <w:sz w:val="18"/>
          <w:u w:val="single"/>
        </w:rPr>
        <w:t>Wall Street Journal</w:t>
      </w:r>
      <w:r>
        <w:rPr>
          <w:rFonts w:ascii="Tahoma" w:hAnsi="Tahoma" w:cs="Tahoma"/>
          <w:sz w:val="18"/>
        </w:rPr>
        <w:t xml:space="preserve"> Prime Rate.  When a range of rates has been </w:t>
      </w:r>
      <w:proofErr w:type="gramStart"/>
      <w:r>
        <w:rPr>
          <w:rFonts w:ascii="Tahoma" w:hAnsi="Tahoma" w:cs="Tahoma"/>
          <w:sz w:val="18"/>
        </w:rPr>
        <w:t>published</w:t>
      </w:r>
      <w:proofErr w:type="gramEnd"/>
      <w:r>
        <w:rPr>
          <w:rFonts w:ascii="Tahoma" w:hAnsi="Tahoma" w:cs="Tahoma"/>
          <w:sz w:val="18"/>
        </w:rPr>
        <w:t xml:space="preserve"> the highest rate will be used.  We will use the most recent index value available to us as of 10 days before the date of any annual percentage rate adjustment.  The maximum annual percentage rate that can apply is 18% or the maximum permitted by law, whichever is less.</w:t>
      </w:r>
    </w:p>
    <w:p w:rsidR="00FD1DAD" w:rsidRDefault="00FD1DAD">
      <w:pPr>
        <w:pStyle w:val="Normal1"/>
        <w:ind w:left="360"/>
        <w:rPr>
          <w:rFonts w:ascii="Tahoma" w:hAnsi="Tahoma" w:cs="Tahoma"/>
          <w:sz w:val="18"/>
        </w:rPr>
      </w:pPr>
    </w:p>
    <w:p w:rsidR="00FD1DAD" w:rsidRDefault="0023347A">
      <w:pPr>
        <w:pStyle w:val="Normal1"/>
        <w:ind w:left="360"/>
        <w:rPr>
          <w:rFonts w:ascii="Tahoma" w:hAnsi="Tahoma" w:cs="Tahoma"/>
          <w:b/>
          <w:sz w:val="18"/>
        </w:rPr>
      </w:pPr>
      <w:r>
        <w:rPr>
          <w:rFonts w:ascii="Tahoma" w:hAnsi="Tahoma" w:cs="Tahoma"/>
          <w:b/>
          <w:sz w:val="18"/>
          <w:u w:val="single"/>
        </w:rPr>
        <w:t xml:space="preserve">SHAREDRAFT ACCESS: </w:t>
      </w:r>
      <w:r>
        <w:rPr>
          <w:rFonts w:ascii="Tahoma" w:hAnsi="Tahoma" w:cs="Tahoma"/>
          <w:b/>
          <w:sz w:val="18"/>
        </w:rPr>
        <w:t xml:space="preserve">  (All TRU LINE Types)</w:t>
      </w:r>
    </w:p>
    <w:p w:rsidR="00FD1DAD" w:rsidRDefault="0023347A">
      <w:pPr>
        <w:pStyle w:val="BodyTextIndent1"/>
        <w:ind w:left="360"/>
        <w:rPr>
          <w:rFonts w:ascii="Tahoma" w:hAnsi="Tahoma" w:cs="Tahoma"/>
          <w:sz w:val="18"/>
        </w:rPr>
      </w:pPr>
      <w:r>
        <w:rPr>
          <w:rFonts w:ascii="Tahoma" w:hAnsi="Tahoma" w:cs="Tahoma"/>
          <w:sz w:val="18"/>
        </w:rPr>
        <w:t>We may authorize you to obtain credit advances by writing share drafts on your line of credit.  We reserve the right not to honor a share draft in the following circumstances:</w:t>
      </w:r>
    </w:p>
    <w:p w:rsidR="00FD1DAD" w:rsidRDefault="0023347A">
      <w:pPr>
        <w:pStyle w:val="Normal1"/>
        <w:tabs>
          <w:tab w:val="left" w:pos="1080"/>
        </w:tabs>
        <w:ind w:left="360"/>
        <w:rPr>
          <w:rFonts w:ascii="Tahoma" w:hAnsi="Tahoma" w:cs="Tahoma"/>
          <w:sz w:val="18"/>
        </w:rPr>
      </w:pPr>
      <w:r>
        <w:rPr>
          <w:rFonts w:ascii="Tahoma" w:hAnsi="Tahoma" w:cs="Tahoma"/>
          <w:sz w:val="18"/>
        </w:rPr>
        <w:t xml:space="preserve">(a) Your Credit Limit has been or </w:t>
      </w:r>
      <w:proofErr w:type="gramStart"/>
      <w:r>
        <w:rPr>
          <w:rFonts w:ascii="Tahoma" w:hAnsi="Tahoma" w:cs="Tahoma"/>
          <w:sz w:val="18"/>
        </w:rPr>
        <w:t>would be exceeded</w:t>
      </w:r>
      <w:proofErr w:type="gramEnd"/>
      <w:r>
        <w:rPr>
          <w:rFonts w:ascii="Tahoma" w:hAnsi="Tahoma" w:cs="Tahoma"/>
          <w:sz w:val="18"/>
        </w:rPr>
        <w:t xml:space="preserve"> by paying the share draft.</w:t>
      </w:r>
    </w:p>
    <w:p w:rsidR="00FD1DAD" w:rsidRDefault="0023347A">
      <w:pPr>
        <w:pStyle w:val="Normal1"/>
        <w:tabs>
          <w:tab w:val="left" w:pos="1080"/>
        </w:tabs>
        <w:ind w:left="360"/>
        <w:rPr>
          <w:rFonts w:ascii="Tahoma" w:hAnsi="Tahoma" w:cs="Tahoma"/>
          <w:sz w:val="18"/>
        </w:rPr>
      </w:pPr>
      <w:r>
        <w:rPr>
          <w:rFonts w:ascii="Tahoma" w:hAnsi="Tahoma" w:cs="Tahoma"/>
          <w:sz w:val="18"/>
        </w:rPr>
        <w:t xml:space="preserve">(b) Your share draft is post-dated.  If a post-dated share draft is paid and as a </w:t>
      </w:r>
      <w:proofErr w:type="gramStart"/>
      <w:r>
        <w:rPr>
          <w:rFonts w:ascii="Tahoma" w:hAnsi="Tahoma" w:cs="Tahoma"/>
          <w:sz w:val="18"/>
        </w:rPr>
        <w:t>result</w:t>
      </w:r>
      <w:proofErr w:type="gramEnd"/>
      <w:r>
        <w:rPr>
          <w:rFonts w:ascii="Tahoma" w:hAnsi="Tahoma" w:cs="Tahoma"/>
          <w:sz w:val="18"/>
        </w:rPr>
        <w:t xml:space="preserve"> any other share draft is returned or not paid, we are not responsible.</w:t>
      </w:r>
    </w:p>
    <w:p w:rsidR="00FD1DAD" w:rsidRDefault="0023347A">
      <w:pPr>
        <w:pStyle w:val="Normal1"/>
        <w:tabs>
          <w:tab w:val="left" w:pos="1080"/>
        </w:tabs>
        <w:ind w:left="360"/>
        <w:rPr>
          <w:rFonts w:ascii="Tahoma" w:hAnsi="Tahoma" w:cs="Tahoma"/>
          <w:sz w:val="18"/>
        </w:rPr>
      </w:pPr>
      <w:r>
        <w:rPr>
          <w:rFonts w:ascii="Tahoma" w:hAnsi="Tahoma" w:cs="Tahoma"/>
          <w:sz w:val="18"/>
        </w:rPr>
        <w:t xml:space="preserve">(c) Your share drafts </w:t>
      </w:r>
      <w:proofErr w:type="gramStart"/>
      <w:r>
        <w:rPr>
          <w:rFonts w:ascii="Tahoma" w:hAnsi="Tahoma" w:cs="Tahoma"/>
          <w:sz w:val="18"/>
        </w:rPr>
        <w:t>have been reported</w:t>
      </w:r>
      <w:proofErr w:type="gramEnd"/>
      <w:r>
        <w:rPr>
          <w:rFonts w:ascii="Tahoma" w:hAnsi="Tahoma" w:cs="Tahoma"/>
          <w:sz w:val="18"/>
        </w:rPr>
        <w:t xml:space="preserve"> lost or stolen.  You should notify us at once if your share drafts are lost or stolen.</w:t>
      </w:r>
    </w:p>
    <w:p w:rsidR="00FD1DAD" w:rsidRDefault="0023347A">
      <w:pPr>
        <w:pStyle w:val="Normal1"/>
        <w:tabs>
          <w:tab w:val="left" w:pos="1080"/>
        </w:tabs>
        <w:ind w:left="360"/>
        <w:rPr>
          <w:rFonts w:ascii="Tahoma" w:hAnsi="Tahoma" w:cs="Tahoma"/>
          <w:sz w:val="18"/>
        </w:rPr>
      </w:pPr>
      <w:r>
        <w:rPr>
          <w:rFonts w:ascii="Tahoma" w:hAnsi="Tahoma" w:cs="Tahoma"/>
          <w:sz w:val="18"/>
        </w:rPr>
        <w:t xml:space="preserve">(d) Your share draft </w:t>
      </w:r>
      <w:proofErr w:type="gramStart"/>
      <w:r>
        <w:rPr>
          <w:rFonts w:ascii="Tahoma" w:hAnsi="Tahoma" w:cs="Tahoma"/>
          <w:sz w:val="18"/>
        </w:rPr>
        <w:t>is not signed</w:t>
      </w:r>
      <w:proofErr w:type="gramEnd"/>
      <w:r>
        <w:rPr>
          <w:rFonts w:ascii="Tahoma" w:hAnsi="Tahoma" w:cs="Tahoma"/>
          <w:sz w:val="18"/>
        </w:rPr>
        <w:t xml:space="preserve"> by an “Authorized Signer”, which means a person who signed this Agreement, or has signed a separate signature card for the account.</w:t>
      </w:r>
    </w:p>
    <w:p w:rsidR="00FD1DAD" w:rsidRDefault="0023347A">
      <w:pPr>
        <w:pStyle w:val="Normal1"/>
        <w:tabs>
          <w:tab w:val="left" w:pos="1080"/>
        </w:tabs>
        <w:ind w:left="360"/>
        <w:rPr>
          <w:rFonts w:ascii="Tahoma" w:hAnsi="Tahoma" w:cs="Tahoma"/>
          <w:sz w:val="18"/>
        </w:rPr>
      </w:pPr>
      <w:r>
        <w:rPr>
          <w:rFonts w:ascii="Tahoma" w:hAnsi="Tahoma" w:cs="Tahoma"/>
          <w:sz w:val="18"/>
        </w:rPr>
        <w:t xml:space="preserve">(e) Your account </w:t>
      </w:r>
      <w:proofErr w:type="gramStart"/>
      <w:r>
        <w:rPr>
          <w:rFonts w:ascii="Tahoma" w:hAnsi="Tahoma" w:cs="Tahoma"/>
          <w:sz w:val="18"/>
        </w:rPr>
        <w:t>has been terminated or suspended as provided in this Agreement</w:t>
      </w:r>
      <w:proofErr w:type="gramEnd"/>
      <w:r>
        <w:rPr>
          <w:rFonts w:ascii="Tahoma" w:hAnsi="Tahoma" w:cs="Tahoma"/>
          <w:sz w:val="18"/>
        </w:rPr>
        <w:t>.</w:t>
      </w:r>
    </w:p>
    <w:p w:rsidR="00FD1DAD" w:rsidRDefault="0023347A">
      <w:pPr>
        <w:pStyle w:val="Normal1"/>
        <w:tabs>
          <w:tab w:val="left" w:pos="1080"/>
        </w:tabs>
        <w:ind w:left="360"/>
        <w:rPr>
          <w:rFonts w:ascii="Tahoma" w:hAnsi="Tahoma" w:cs="Tahoma"/>
          <w:sz w:val="18"/>
        </w:rPr>
      </w:pPr>
      <w:r>
        <w:rPr>
          <w:rFonts w:ascii="Tahoma" w:hAnsi="Tahoma" w:cs="Tahoma"/>
          <w:sz w:val="18"/>
        </w:rPr>
        <w:t>(f) The amount of your share draft is less than the minimum amount required by this Agreement or you are in violation of any other transaction requirement.</w:t>
      </w:r>
    </w:p>
    <w:p w:rsidR="00FD1DAD" w:rsidRDefault="0023347A">
      <w:pPr>
        <w:pStyle w:val="Normal1"/>
        <w:ind w:left="360"/>
        <w:rPr>
          <w:rFonts w:ascii="Tahoma" w:hAnsi="Tahoma" w:cs="Tahoma"/>
          <w:sz w:val="18"/>
        </w:rPr>
      </w:pPr>
      <w:r>
        <w:rPr>
          <w:rFonts w:ascii="Tahoma" w:hAnsi="Tahoma" w:cs="Tahoma"/>
          <w:sz w:val="18"/>
        </w:rPr>
        <w:t xml:space="preserve">If we pay any share draft under these conditions, you must repay us </w:t>
      </w:r>
      <w:proofErr w:type="gramStart"/>
      <w:r>
        <w:rPr>
          <w:rFonts w:ascii="Tahoma" w:hAnsi="Tahoma" w:cs="Tahoma"/>
          <w:sz w:val="18"/>
        </w:rPr>
        <w:t>for the amount of</w:t>
      </w:r>
      <w:proofErr w:type="gramEnd"/>
      <w:r>
        <w:rPr>
          <w:rFonts w:ascii="Tahoma" w:hAnsi="Tahoma" w:cs="Tahoma"/>
          <w:sz w:val="18"/>
        </w:rPr>
        <w:t xml:space="preserve"> the share draft and any charges permitted by law.  The share draft itself will be evidence of your debt to us together with this Agreement.  Our liability, if any, for wrongful dishonor of a share draft is limited to your actual damages.  Dishonor for any reason as provided in the Agreement is not wrongful dishonor.  We may not return the share drafts along with your periodic statements; however, your use of a share draft </w:t>
      </w:r>
      <w:proofErr w:type="gramStart"/>
      <w:r>
        <w:rPr>
          <w:rFonts w:ascii="Tahoma" w:hAnsi="Tahoma" w:cs="Tahoma"/>
          <w:sz w:val="18"/>
        </w:rPr>
        <w:t>will be reflected</w:t>
      </w:r>
      <w:proofErr w:type="gramEnd"/>
      <w:r>
        <w:rPr>
          <w:rFonts w:ascii="Tahoma" w:hAnsi="Tahoma" w:cs="Tahoma"/>
          <w:sz w:val="18"/>
        </w:rPr>
        <w:t xml:space="preserve"> on your periodic statement as a credit advance.  We do not “certify” share drafts drawn on your account.</w:t>
      </w:r>
    </w:p>
    <w:sectPr w:rsidR="00FD1DAD">
      <w:pgSz w:w="12240" w:h="15840"/>
      <w:pgMar w:top="1440" w:right="720" w:bottom="720" w:left="720" w:header="0" w:footer="0" w:gutter="0"/>
      <w:cols w:space="720"/>
      <w:formProt w:val="0"/>
      <w:docGrid w:linePitch="249"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Std"/>
    <w:panose1 w:val="00000400000000000000"/>
    <w:charset w:val="00"/>
    <w:family w:val="roman"/>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1082F"/>
    <w:multiLevelType w:val="multilevel"/>
    <w:tmpl w:val="431A9304"/>
    <w:lvl w:ilvl="0">
      <w:start w:val="1"/>
      <w:numFmt w:val="bullet"/>
      <w:lvlText w:val=""/>
      <w:lvlJc w:val="left"/>
      <w:pPr>
        <w:ind w:left="720" w:hanging="360"/>
      </w:pPr>
      <w:rPr>
        <w:rFonts w:ascii="Wingdings" w:hAnsi="Wingdings" w:cs="Wingdings" w:hint="default"/>
        <w:b/>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5E43889"/>
    <w:multiLevelType w:val="multilevel"/>
    <w:tmpl w:val="58C299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D22104E"/>
    <w:multiLevelType w:val="multilevel"/>
    <w:tmpl w:val="463618FC"/>
    <w:lvl w:ilvl="0">
      <w:start w:val="1"/>
      <w:numFmt w:val="bullet"/>
      <w:lvlText w:val=""/>
      <w:lvlJc w:val="left"/>
      <w:pPr>
        <w:ind w:left="720" w:hanging="360"/>
      </w:pPr>
      <w:rPr>
        <w:rFonts w:ascii="Wingdings" w:hAnsi="Wingdings" w:cs="Wingdings" w:hint="default"/>
        <w:b/>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8645FBA"/>
    <w:multiLevelType w:val="multilevel"/>
    <w:tmpl w:val="5E8C7C2E"/>
    <w:lvl w:ilvl="0">
      <w:start w:val="1"/>
      <w:numFmt w:val="bullet"/>
      <w:lvlText w:val=""/>
      <w:lvlJc w:val="left"/>
      <w:pPr>
        <w:ind w:left="720" w:hanging="360"/>
      </w:pPr>
      <w:rPr>
        <w:rFonts w:ascii="Wingdings" w:hAnsi="Wingdings" w:cs="Wingdings" w:hint="default"/>
        <w:b/>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AD"/>
    <w:rsid w:val="000128B6"/>
    <w:rsid w:val="000C5877"/>
    <w:rsid w:val="001928B1"/>
    <w:rsid w:val="001A0849"/>
    <w:rsid w:val="001C3A6D"/>
    <w:rsid w:val="001D5297"/>
    <w:rsid w:val="00211A6C"/>
    <w:rsid w:val="0023347A"/>
    <w:rsid w:val="00267E55"/>
    <w:rsid w:val="00293D1E"/>
    <w:rsid w:val="002A305C"/>
    <w:rsid w:val="002E4BA1"/>
    <w:rsid w:val="00350876"/>
    <w:rsid w:val="003B59A1"/>
    <w:rsid w:val="003C7C3D"/>
    <w:rsid w:val="004D41F2"/>
    <w:rsid w:val="004D7B32"/>
    <w:rsid w:val="00572815"/>
    <w:rsid w:val="005A135A"/>
    <w:rsid w:val="00653C9F"/>
    <w:rsid w:val="00655C8F"/>
    <w:rsid w:val="00674224"/>
    <w:rsid w:val="00706080"/>
    <w:rsid w:val="0072231B"/>
    <w:rsid w:val="00734EDA"/>
    <w:rsid w:val="00780E1E"/>
    <w:rsid w:val="00795BD5"/>
    <w:rsid w:val="007A545E"/>
    <w:rsid w:val="007A6186"/>
    <w:rsid w:val="007C597C"/>
    <w:rsid w:val="007E27B9"/>
    <w:rsid w:val="007E785A"/>
    <w:rsid w:val="00834D52"/>
    <w:rsid w:val="00841449"/>
    <w:rsid w:val="008E3AEC"/>
    <w:rsid w:val="009438F4"/>
    <w:rsid w:val="00967AC2"/>
    <w:rsid w:val="009C0E5E"/>
    <w:rsid w:val="00A17D2A"/>
    <w:rsid w:val="00A21C38"/>
    <w:rsid w:val="00A57F44"/>
    <w:rsid w:val="00A961BB"/>
    <w:rsid w:val="00AA568E"/>
    <w:rsid w:val="00B203DC"/>
    <w:rsid w:val="00BA2B49"/>
    <w:rsid w:val="00BB15CF"/>
    <w:rsid w:val="00BF565A"/>
    <w:rsid w:val="00C42C81"/>
    <w:rsid w:val="00E17D7A"/>
    <w:rsid w:val="00E46AC1"/>
    <w:rsid w:val="00E54B4E"/>
    <w:rsid w:val="00E93053"/>
    <w:rsid w:val="00EA6F5E"/>
    <w:rsid w:val="00ED27D5"/>
    <w:rsid w:val="00F33E5E"/>
    <w:rsid w:val="00F50920"/>
    <w:rsid w:val="00F64812"/>
    <w:rsid w:val="00FB731B"/>
    <w:rsid w:val="00FD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74ADA-232C-4F66-B34A-D518C003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rPr>
  </w:style>
  <w:style w:type="paragraph" w:styleId="Heading1">
    <w:name w:val="heading 1"/>
    <w:basedOn w:val="Heading"/>
    <w:qFormat/>
    <w:pPr>
      <w:jc w:val="left"/>
      <w:outlineLvl w:val="0"/>
    </w:pPr>
    <w:rPr>
      <w:rFonts w:ascii="Liberation Serif" w:eastAsia="SimSun" w:hAnsi="Liberation Serif"/>
      <w:color w:val="00000A"/>
      <w:sz w:val="24"/>
      <w:szCs w:val="24"/>
    </w:rPr>
  </w:style>
  <w:style w:type="paragraph" w:styleId="Heading2">
    <w:name w:val="heading 2"/>
    <w:basedOn w:val="Heading"/>
    <w:qFormat/>
    <w:pPr>
      <w:spacing w:before="200"/>
      <w:outlineLvl w:val="1"/>
    </w:pPr>
    <w:rPr>
      <w:bCs/>
      <w:sz w:val="32"/>
      <w:szCs w:val="32"/>
    </w:rPr>
  </w:style>
  <w:style w:type="paragraph" w:styleId="Heading3">
    <w:name w:val="heading 3"/>
    <w:basedOn w:val="Heading"/>
    <w:qFormat/>
    <w:pPr>
      <w:spacing w:before="140"/>
      <w:outlineLvl w:val="2"/>
    </w:pPr>
    <w:rPr>
      <w:bCs/>
      <w:color w:val="808080"/>
    </w:rPr>
  </w:style>
  <w:style w:type="paragraph" w:styleId="Heading5">
    <w:name w:val="heading 5"/>
    <w:basedOn w:val="Heading"/>
    <w:qFormat/>
    <w:pPr>
      <w:spacing w:before="120" w:after="60"/>
      <w:outlineLvl w:val="4"/>
    </w:pPr>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Wingdings" w:hAnsi="Wingdings" w:cs="Wingdings"/>
      <w:sz w:val="16"/>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Wingdings"/>
      <w:sz w:val="16"/>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Wingdings" w:hAnsi="Wingdings" w:cs="Wingdings"/>
      <w:sz w:val="16"/>
    </w:rPr>
  </w:style>
  <w:style w:type="character" w:customStyle="1" w:styleId="WW8Num4z0">
    <w:name w:val="WW8Num4z0"/>
    <w:qFormat/>
    <w:rPr>
      <w:rFonts w:ascii="Wingdings" w:hAnsi="Wingdings" w:cs="Wingdings"/>
      <w:sz w:val="16"/>
    </w:rPr>
  </w:style>
  <w:style w:type="character" w:customStyle="1" w:styleId="WW8Num5z0">
    <w:name w:val="WW8Num5z0"/>
    <w:qFormat/>
  </w:style>
  <w:style w:type="character" w:customStyle="1" w:styleId="WW8Num6z0">
    <w:name w:val="WW8Num6z0"/>
    <w:qFormat/>
    <w:rPr>
      <w:rFonts w:ascii="Wingdings" w:hAnsi="Wingdings" w:cs="Wingdings"/>
      <w:sz w:val="16"/>
    </w:rPr>
  </w:style>
  <w:style w:type="character" w:customStyle="1" w:styleId="WW8Num7z0">
    <w:name w:val="WW8Num7z0"/>
    <w:qFormat/>
    <w:rPr>
      <w:rFonts w:ascii="Wingdings" w:hAnsi="Wingdings" w:cs="Wingdings"/>
      <w:sz w:val="16"/>
    </w:rPr>
  </w:style>
  <w:style w:type="character" w:customStyle="1" w:styleId="WW8Num8z0">
    <w:name w:val="WW8Num8z0"/>
    <w:qFormat/>
    <w:rPr>
      <w:rFonts w:ascii="Wingdings" w:hAnsi="Wingdings" w:cs="Wingdings"/>
      <w:sz w:val="16"/>
    </w:rPr>
  </w:style>
  <w:style w:type="character" w:customStyle="1" w:styleId="WW8Num9z0">
    <w:name w:val="WW8Num9z0"/>
    <w:qFormat/>
    <w:rPr>
      <w:rFonts w:ascii="Wingdings" w:hAnsi="Wingdings" w:cs="Wingdings"/>
      <w:sz w:val="16"/>
    </w:rPr>
  </w:style>
  <w:style w:type="character" w:customStyle="1" w:styleId="WW8Num10z0">
    <w:name w:val="WW8Num10z0"/>
    <w:qFormat/>
    <w:rPr>
      <w:rFonts w:ascii="Wingdings" w:hAnsi="Wingdings" w:cs="Wingdings"/>
      <w:sz w:val="16"/>
    </w:rPr>
  </w:style>
  <w:style w:type="character" w:customStyle="1" w:styleId="WW8Num11z0">
    <w:name w:val="WW8Num11z0"/>
    <w:qFormat/>
    <w:rPr>
      <w:rFonts w:ascii="Wingdings" w:hAnsi="Wingdings" w:cs="Wingdings"/>
      <w:sz w:val="16"/>
    </w:rPr>
  </w:style>
  <w:style w:type="character" w:customStyle="1" w:styleId="StrongEmphasis">
    <w:name w:val="Strong Emphasis"/>
    <w:basedOn w:val="DefaultParagraphFont"/>
    <w:qFormat/>
    <w:rPr>
      <w:b/>
      <w:bCs/>
    </w:rPr>
  </w:style>
  <w:style w:type="character" w:customStyle="1" w:styleId="ListLabel1">
    <w:name w:val="ListLabel 1"/>
    <w:qFormat/>
    <w:rPr>
      <w:rFonts w:cs="Wingdings"/>
      <w:sz w:val="16"/>
    </w:rPr>
  </w:style>
  <w:style w:type="character" w:customStyle="1" w:styleId="ListLabel2">
    <w:name w:val="ListLabel 2"/>
    <w:qFormat/>
    <w:rPr>
      <w:rFonts w:cs="Wingdings"/>
    </w:rPr>
  </w:style>
  <w:style w:type="character" w:customStyle="1" w:styleId="ListLabel3">
    <w:name w:val="ListLabel 3"/>
    <w:qFormat/>
    <w:rPr>
      <w:rFonts w:cs="Wingdings"/>
      <w:sz w:val="16"/>
    </w:rPr>
  </w:style>
  <w:style w:type="character" w:customStyle="1" w:styleId="ListLabel4">
    <w:name w:val="ListLabel 4"/>
    <w:qFormat/>
    <w:rPr>
      <w:rFonts w:ascii="Tahoma" w:hAnsi="Tahoma" w:cs="Wingdings"/>
      <w:b/>
      <w:sz w:val="18"/>
    </w:rPr>
  </w:style>
  <w:style w:type="character" w:customStyle="1" w:styleId="ListLabel5">
    <w:name w:val="ListLabel 5"/>
    <w:qFormat/>
    <w:rPr>
      <w:rFonts w:ascii="Tahoma" w:hAnsi="Tahoma" w:cs="Wingdings"/>
      <w:b/>
      <w:sz w:val="18"/>
    </w:rPr>
  </w:style>
  <w:style w:type="character" w:customStyle="1" w:styleId="ListLabel6">
    <w:name w:val="ListLabel 6"/>
    <w:qFormat/>
    <w:rPr>
      <w:rFonts w:ascii="Tahoma" w:hAnsi="Tahoma" w:cs="Wingdings"/>
      <w:b/>
      <w:sz w:val="18"/>
    </w:rPr>
  </w:style>
  <w:style w:type="character" w:customStyle="1" w:styleId="ListLabel7">
    <w:name w:val="ListLabel 7"/>
    <w:rPr>
      <w:rFonts w:cs="Wingdings"/>
      <w:b/>
      <w:sz w:val="18"/>
    </w:rPr>
  </w:style>
  <w:style w:type="character" w:customStyle="1" w:styleId="ListLabel8">
    <w:name w:val="ListLabel 8"/>
    <w:rPr>
      <w:rFonts w:cs="Wingdings"/>
      <w:b/>
      <w:sz w:val="18"/>
    </w:rPr>
  </w:style>
  <w:style w:type="paragraph" w:customStyle="1" w:styleId="Heading">
    <w:name w:val="Heading"/>
    <w:next w:val="TextBody"/>
    <w:qFormat/>
    <w:pPr>
      <w:keepNext/>
      <w:widowControl w:val="0"/>
      <w:suppressAutoHyphens/>
      <w:spacing w:before="240" w:after="120"/>
      <w:jc w:val="center"/>
    </w:pPr>
    <w:rPr>
      <w:rFonts w:ascii="Liberation Sans" w:eastAsia="Microsoft YaHei" w:hAnsi="Liberation Sans"/>
      <w:b/>
      <w:sz w:val="28"/>
      <w:szCs w:val="28"/>
    </w:rPr>
  </w:style>
  <w:style w:type="paragraph" w:customStyle="1" w:styleId="TextBody">
    <w:name w:val="Text Body"/>
    <w:basedOn w:val="Normal"/>
    <w:pPr>
      <w:spacing w:after="140" w:line="288" w:lineRule="auto"/>
    </w:pPr>
  </w:style>
  <w:style w:type="paragraph" w:styleId="List">
    <w:name w:val="List"/>
    <w:pPr>
      <w:widowControl w:val="0"/>
      <w:suppressAutoHyphens/>
    </w:pPr>
  </w:style>
  <w:style w:type="paragraph" w:styleId="Caption">
    <w:name w:val="caption"/>
    <w:basedOn w:val="Normal1"/>
    <w:qFormat/>
    <w:pPr>
      <w:suppressLineNumbers/>
      <w:spacing w:before="120" w:after="120"/>
    </w:pPr>
    <w:rPr>
      <w:rFonts w:cs="Mangal"/>
      <w:i/>
      <w:iCs/>
      <w:sz w:val="24"/>
      <w:szCs w:val="24"/>
    </w:rPr>
  </w:style>
  <w:style w:type="paragraph" w:customStyle="1" w:styleId="Index">
    <w:name w:val="Index"/>
    <w:qFormat/>
    <w:pPr>
      <w:widowControl w:val="0"/>
      <w:suppressLineNumbers/>
      <w:suppressAutoHyphens/>
    </w:pPr>
  </w:style>
  <w:style w:type="paragraph" w:customStyle="1" w:styleId="Normal1">
    <w:name w:val="Normal1"/>
    <w:qFormat/>
    <w:pPr>
      <w:suppressAutoHyphens/>
      <w:textAlignment w:val="baseline"/>
    </w:pPr>
    <w:rPr>
      <w:rFonts w:ascii="Times New Roman" w:eastAsia="Times New Roman" w:hAnsi="Times New Roman" w:cs="Times New Roman"/>
      <w:color w:val="00000A"/>
      <w:sz w:val="20"/>
      <w:szCs w:val="20"/>
    </w:rPr>
  </w:style>
  <w:style w:type="paragraph" w:customStyle="1" w:styleId="BodyText1">
    <w:name w:val="Body Text1"/>
    <w:basedOn w:val="Normal1"/>
    <w:pPr>
      <w:spacing w:after="140" w:line="288" w:lineRule="auto"/>
    </w:pPr>
  </w:style>
  <w:style w:type="paragraph" w:customStyle="1" w:styleId="BodyTextIndent1">
    <w:name w:val="Body Text Indent1"/>
    <w:basedOn w:val="Normal1"/>
    <w:pPr>
      <w:ind w:left="720"/>
    </w:pPr>
    <w:rPr>
      <w:sz w:val="22"/>
    </w:rPr>
  </w:style>
  <w:style w:type="paragraph" w:customStyle="1" w:styleId="TableContents">
    <w:name w:val="Table Contents"/>
    <w:basedOn w:val="Normal1"/>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1"/>
    <w:qFormat/>
    <w:pPr>
      <w:spacing w:after="283"/>
      <w:ind w:left="567" w:right="567"/>
    </w:pPr>
  </w:style>
  <w:style w:type="paragraph" w:styleId="Title">
    <w:name w:val="Title"/>
    <w:basedOn w:val="Heading"/>
    <w:qFormat/>
    <w:pPr>
      <w:jc w:val="left"/>
    </w:pPr>
    <w:rPr>
      <w:bCs/>
      <w:sz w:val="56"/>
      <w:szCs w:val="56"/>
    </w:rPr>
  </w:style>
  <w:style w:type="paragraph" w:styleId="Subtitle">
    <w:name w:val="Subtitle"/>
    <w:basedOn w:val="Heading"/>
    <w:qFormat/>
    <w:pPr>
      <w:spacing w:before="60"/>
      <w:jc w:val="left"/>
    </w:pPr>
    <w:rPr>
      <w:sz w:val="36"/>
      <w:szCs w:val="3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paragraph" w:styleId="BalloonText">
    <w:name w:val="Balloon Text"/>
    <w:basedOn w:val="Normal"/>
    <w:link w:val="BalloonTextChar"/>
    <w:uiPriority w:val="99"/>
    <w:semiHidden/>
    <w:unhideWhenUsed/>
    <w:rsid w:val="00967AC2"/>
    <w:rPr>
      <w:rFonts w:ascii="Segoe UI" w:hAnsi="Segoe UI"/>
      <w:sz w:val="18"/>
      <w:szCs w:val="16"/>
    </w:rPr>
  </w:style>
  <w:style w:type="character" w:customStyle="1" w:styleId="BalloonTextChar">
    <w:name w:val="Balloon Text Char"/>
    <w:basedOn w:val="DefaultParagraphFont"/>
    <w:link w:val="BalloonText"/>
    <w:uiPriority w:val="99"/>
    <w:semiHidden/>
    <w:rsid w:val="00967AC2"/>
    <w:rPr>
      <w:rFonts w:ascii="Segoe UI" w:hAnsi="Segoe UI"/>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CINCINNATI CENTRAL CREDIT UNION</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TruPartner Credit Union</dc:title>
  <dc:subject>Loan Addendum</dc:subject>
  <dc:creator>user</dc:creator>
  <dc:description>effective January 31, 2021</dc:description>
  <cp:lastModifiedBy>employee</cp:lastModifiedBy>
  <cp:revision>10</cp:revision>
  <cp:lastPrinted>2018-05-31T18:02:00Z</cp:lastPrinted>
  <dcterms:created xsi:type="dcterms:W3CDTF">2019-12-23T21:09:00Z</dcterms:created>
  <dcterms:modified xsi:type="dcterms:W3CDTF">2020-12-31T17:04:00Z</dcterms:modified>
  <cp:category>Lending</cp:category>
  <dc:language>en-US</dc:language>
</cp:coreProperties>
</file>